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47C3" w:rsidRPr="00E047C3" w:rsidRDefault="00E047C3" w:rsidP="00E047C3">
      <w:pPr>
        <w:shd w:val="clear" w:color="auto" w:fill="FFFFFF"/>
        <w:spacing w:before="240" w:after="240" w:line="240" w:lineRule="auto"/>
        <w:outlineLvl w:val="3"/>
        <w:rPr>
          <w:rFonts w:ascii="Tahoma" w:eastAsia="Times New Roman" w:hAnsi="Tahoma" w:cs="Tahoma"/>
          <w:b/>
          <w:bCs/>
          <w:color w:val="990000"/>
          <w:sz w:val="24"/>
          <w:szCs w:val="24"/>
          <w:lang w:eastAsia="en-AU"/>
        </w:rPr>
      </w:pPr>
      <w:r w:rsidRPr="00E047C3">
        <w:rPr>
          <w:rFonts w:ascii="Tahoma" w:eastAsia="Times New Roman" w:hAnsi="Tahoma" w:cs="Tahoma"/>
          <w:b/>
          <w:bCs/>
          <w:color w:val="990000"/>
          <w:sz w:val="24"/>
          <w:szCs w:val="24"/>
          <w:lang w:eastAsia="en-AU"/>
        </w:rPr>
        <w:t>International Covenant on Economic, Social and Cultural Rights (ICESCR) – 19</w:t>
      </w:r>
      <w:bookmarkStart w:id="0" w:name="_GoBack"/>
      <w:bookmarkEnd w:id="0"/>
      <w:r w:rsidRPr="00E047C3">
        <w:rPr>
          <w:rFonts w:ascii="Tahoma" w:eastAsia="Times New Roman" w:hAnsi="Tahoma" w:cs="Tahoma"/>
          <w:b/>
          <w:bCs/>
          <w:color w:val="990000"/>
          <w:sz w:val="24"/>
          <w:szCs w:val="24"/>
          <w:lang w:eastAsia="en-AU"/>
        </w:rPr>
        <w:t>76</w:t>
      </w:r>
    </w:p>
    <w:p w:rsidR="00E047C3" w:rsidRPr="00E047C3" w:rsidRDefault="00E047C3" w:rsidP="00E047C3">
      <w:pPr>
        <w:shd w:val="clear" w:color="auto" w:fill="FFFFFF"/>
        <w:spacing w:after="0" w:line="360" w:lineRule="atLeast"/>
        <w:rPr>
          <w:rFonts w:ascii="Tahoma" w:eastAsia="Times New Roman" w:hAnsi="Tahoma" w:cs="Tahoma"/>
          <w:color w:val="000000"/>
          <w:sz w:val="24"/>
          <w:szCs w:val="24"/>
          <w:lang w:eastAsia="en-AU"/>
        </w:rPr>
      </w:pPr>
      <w:r w:rsidRPr="00E047C3">
        <w:rPr>
          <w:rFonts w:ascii="Tahoma" w:eastAsia="Times New Roman" w:hAnsi="Tahoma" w:cs="Tahoma"/>
          <w:b/>
          <w:bCs/>
          <w:color w:val="000000"/>
          <w:sz w:val="24"/>
          <w:szCs w:val="24"/>
          <w:lang w:eastAsia="en-AU"/>
        </w:rPr>
        <w:t>Rights Protected:</w:t>
      </w:r>
    </w:p>
    <w:p w:rsidR="00E047C3" w:rsidRPr="00E047C3" w:rsidRDefault="00E047C3" w:rsidP="00E047C3">
      <w:pPr>
        <w:numPr>
          <w:ilvl w:val="0"/>
          <w:numId w:val="1"/>
        </w:numPr>
        <w:shd w:val="clear" w:color="auto" w:fill="FFFFFF"/>
        <w:spacing w:after="0" w:line="312" w:lineRule="atLeast"/>
        <w:ind w:left="240"/>
        <w:rPr>
          <w:rFonts w:ascii="Tahoma" w:eastAsia="Times New Roman" w:hAnsi="Tahoma" w:cs="Tahoma"/>
          <w:color w:val="000000"/>
          <w:sz w:val="24"/>
          <w:szCs w:val="24"/>
          <w:lang w:eastAsia="en-AU"/>
        </w:rPr>
      </w:pPr>
      <w:r w:rsidRPr="00E047C3">
        <w:rPr>
          <w:rFonts w:ascii="Tahoma" w:eastAsia="Times New Roman" w:hAnsi="Tahoma" w:cs="Tahoma"/>
          <w:color w:val="000000"/>
          <w:sz w:val="24"/>
          <w:szCs w:val="24"/>
          <w:lang w:eastAsia="en-AU"/>
        </w:rPr>
        <w:t>Right to self-determination (article 1)</w:t>
      </w:r>
    </w:p>
    <w:p w:rsidR="00E047C3" w:rsidRPr="00E047C3" w:rsidRDefault="00E047C3" w:rsidP="00E047C3">
      <w:pPr>
        <w:numPr>
          <w:ilvl w:val="0"/>
          <w:numId w:val="1"/>
        </w:numPr>
        <w:shd w:val="clear" w:color="auto" w:fill="FFFFFF"/>
        <w:spacing w:after="0" w:line="312" w:lineRule="atLeast"/>
        <w:ind w:left="240"/>
        <w:rPr>
          <w:rFonts w:ascii="Tahoma" w:eastAsia="Times New Roman" w:hAnsi="Tahoma" w:cs="Tahoma"/>
          <w:color w:val="000000"/>
          <w:sz w:val="24"/>
          <w:szCs w:val="24"/>
          <w:lang w:eastAsia="en-AU"/>
        </w:rPr>
      </w:pPr>
      <w:r w:rsidRPr="00E047C3">
        <w:rPr>
          <w:rFonts w:ascii="Tahoma" w:eastAsia="Times New Roman" w:hAnsi="Tahoma" w:cs="Tahoma"/>
          <w:color w:val="000000"/>
          <w:sz w:val="24"/>
          <w:szCs w:val="24"/>
          <w:lang w:eastAsia="en-AU"/>
        </w:rPr>
        <w:t>Ensuring equal rights of men and women (article 3)</w:t>
      </w:r>
    </w:p>
    <w:p w:rsidR="00E047C3" w:rsidRPr="00E047C3" w:rsidRDefault="00E047C3" w:rsidP="00E047C3">
      <w:pPr>
        <w:numPr>
          <w:ilvl w:val="0"/>
          <w:numId w:val="1"/>
        </w:numPr>
        <w:shd w:val="clear" w:color="auto" w:fill="FFFFFF"/>
        <w:spacing w:after="0" w:line="312" w:lineRule="atLeast"/>
        <w:ind w:left="240"/>
        <w:rPr>
          <w:rFonts w:ascii="Tahoma" w:eastAsia="Times New Roman" w:hAnsi="Tahoma" w:cs="Tahoma"/>
          <w:color w:val="000000"/>
          <w:sz w:val="24"/>
          <w:szCs w:val="24"/>
          <w:lang w:eastAsia="en-AU"/>
        </w:rPr>
      </w:pPr>
      <w:r w:rsidRPr="00E047C3">
        <w:rPr>
          <w:rFonts w:ascii="Tahoma" w:eastAsia="Times New Roman" w:hAnsi="Tahoma" w:cs="Tahoma"/>
          <w:color w:val="000000"/>
          <w:sz w:val="24"/>
          <w:szCs w:val="24"/>
          <w:lang w:eastAsia="en-AU"/>
        </w:rPr>
        <w:t>Right to work (article 6)</w:t>
      </w:r>
    </w:p>
    <w:p w:rsidR="00E047C3" w:rsidRPr="00E047C3" w:rsidRDefault="00E047C3" w:rsidP="00E047C3">
      <w:pPr>
        <w:numPr>
          <w:ilvl w:val="0"/>
          <w:numId w:val="1"/>
        </w:numPr>
        <w:shd w:val="clear" w:color="auto" w:fill="FFFFFF"/>
        <w:spacing w:after="0" w:line="312" w:lineRule="atLeast"/>
        <w:ind w:left="240"/>
        <w:rPr>
          <w:rFonts w:ascii="Tahoma" w:eastAsia="Times New Roman" w:hAnsi="Tahoma" w:cs="Tahoma"/>
          <w:color w:val="000000"/>
          <w:sz w:val="24"/>
          <w:szCs w:val="24"/>
          <w:lang w:eastAsia="en-AU"/>
        </w:rPr>
      </w:pPr>
      <w:r w:rsidRPr="00E047C3">
        <w:rPr>
          <w:rFonts w:ascii="Tahoma" w:eastAsia="Times New Roman" w:hAnsi="Tahoma" w:cs="Tahoma"/>
          <w:color w:val="000000"/>
          <w:sz w:val="24"/>
          <w:szCs w:val="24"/>
          <w:lang w:eastAsia="en-AU"/>
        </w:rPr>
        <w:t>Right to just and favourable working conditions (article 7)</w:t>
      </w:r>
    </w:p>
    <w:p w:rsidR="00E047C3" w:rsidRPr="00E047C3" w:rsidRDefault="00E047C3" w:rsidP="00E047C3">
      <w:pPr>
        <w:numPr>
          <w:ilvl w:val="0"/>
          <w:numId w:val="1"/>
        </w:numPr>
        <w:shd w:val="clear" w:color="auto" w:fill="FFFFFF"/>
        <w:spacing w:after="0" w:line="312" w:lineRule="atLeast"/>
        <w:ind w:left="240"/>
        <w:rPr>
          <w:rFonts w:ascii="Tahoma" w:eastAsia="Times New Roman" w:hAnsi="Tahoma" w:cs="Tahoma"/>
          <w:color w:val="000000"/>
          <w:sz w:val="24"/>
          <w:szCs w:val="24"/>
          <w:lang w:eastAsia="en-AU"/>
        </w:rPr>
      </w:pPr>
      <w:r w:rsidRPr="00E047C3">
        <w:rPr>
          <w:rFonts w:ascii="Tahoma" w:eastAsia="Times New Roman" w:hAnsi="Tahoma" w:cs="Tahoma"/>
          <w:color w:val="000000"/>
          <w:sz w:val="24"/>
          <w:szCs w:val="24"/>
          <w:lang w:eastAsia="en-AU"/>
        </w:rPr>
        <w:t>Right to form trade unions and the right to strike (article 8)</w:t>
      </w:r>
    </w:p>
    <w:p w:rsidR="00E047C3" w:rsidRPr="00E047C3" w:rsidRDefault="00E047C3" w:rsidP="00E047C3">
      <w:pPr>
        <w:numPr>
          <w:ilvl w:val="0"/>
          <w:numId w:val="1"/>
        </w:numPr>
        <w:shd w:val="clear" w:color="auto" w:fill="FFFFFF"/>
        <w:spacing w:after="0" w:line="312" w:lineRule="atLeast"/>
        <w:ind w:left="240"/>
        <w:rPr>
          <w:rFonts w:ascii="Tahoma" w:eastAsia="Times New Roman" w:hAnsi="Tahoma" w:cs="Tahoma"/>
          <w:color w:val="000000"/>
          <w:sz w:val="24"/>
          <w:szCs w:val="24"/>
          <w:lang w:eastAsia="en-AU"/>
        </w:rPr>
      </w:pPr>
      <w:r w:rsidRPr="00E047C3">
        <w:rPr>
          <w:rFonts w:ascii="Tahoma" w:eastAsia="Times New Roman" w:hAnsi="Tahoma" w:cs="Tahoma"/>
          <w:color w:val="000000"/>
          <w:sz w:val="24"/>
          <w:szCs w:val="24"/>
          <w:lang w:eastAsia="en-AU"/>
        </w:rPr>
        <w:t>Right to social security (article 9)</w:t>
      </w:r>
    </w:p>
    <w:p w:rsidR="00E047C3" w:rsidRPr="00E047C3" w:rsidRDefault="00E047C3" w:rsidP="00E047C3">
      <w:pPr>
        <w:numPr>
          <w:ilvl w:val="0"/>
          <w:numId w:val="1"/>
        </w:numPr>
        <w:shd w:val="clear" w:color="auto" w:fill="FFFFFF"/>
        <w:spacing w:after="0" w:line="312" w:lineRule="atLeast"/>
        <w:ind w:left="240"/>
        <w:rPr>
          <w:rFonts w:ascii="Tahoma" w:eastAsia="Times New Roman" w:hAnsi="Tahoma" w:cs="Tahoma"/>
          <w:color w:val="000000"/>
          <w:sz w:val="24"/>
          <w:szCs w:val="24"/>
          <w:lang w:eastAsia="en-AU"/>
        </w:rPr>
      </w:pPr>
      <w:r w:rsidRPr="00E047C3">
        <w:rPr>
          <w:rFonts w:ascii="Tahoma" w:eastAsia="Times New Roman" w:hAnsi="Tahoma" w:cs="Tahoma"/>
          <w:color w:val="000000"/>
          <w:sz w:val="24"/>
          <w:szCs w:val="24"/>
          <w:lang w:eastAsia="en-AU"/>
        </w:rPr>
        <w:t>Right to an adequate standard of living (article 11)</w:t>
      </w:r>
    </w:p>
    <w:p w:rsidR="00E047C3" w:rsidRPr="00E047C3" w:rsidRDefault="00E047C3" w:rsidP="00E047C3">
      <w:pPr>
        <w:numPr>
          <w:ilvl w:val="0"/>
          <w:numId w:val="1"/>
        </w:numPr>
        <w:shd w:val="clear" w:color="auto" w:fill="FFFFFF"/>
        <w:spacing w:after="0" w:line="312" w:lineRule="atLeast"/>
        <w:ind w:left="240"/>
        <w:rPr>
          <w:rFonts w:ascii="Tahoma" w:eastAsia="Times New Roman" w:hAnsi="Tahoma" w:cs="Tahoma"/>
          <w:color w:val="000000"/>
          <w:sz w:val="24"/>
          <w:szCs w:val="24"/>
          <w:lang w:eastAsia="en-AU"/>
        </w:rPr>
      </w:pPr>
      <w:r w:rsidRPr="00E047C3">
        <w:rPr>
          <w:rFonts w:ascii="Tahoma" w:eastAsia="Times New Roman" w:hAnsi="Tahoma" w:cs="Tahoma"/>
          <w:color w:val="000000"/>
          <w:sz w:val="24"/>
          <w:szCs w:val="24"/>
          <w:lang w:eastAsia="en-AU"/>
        </w:rPr>
        <w:t>Right to education (article 13)</w:t>
      </w:r>
    </w:p>
    <w:p w:rsidR="00E047C3" w:rsidRPr="00E047C3" w:rsidRDefault="00E047C3" w:rsidP="00E047C3">
      <w:pPr>
        <w:numPr>
          <w:ilvl w:val="0"/>
          <w:numId w:val="1"/>
        </w:numPr>
        <w:shd w:val="clear" w:color="auto" w:fill="FFFFFF"/>
        <w:spacing w:after="0" w:line="312" w:lineRule="atLeast"/>
        <w:ind w:left="240"/>
        <w:rPr>
          <w:rFonts w:ascii="Tahoma" w:eastAsia="Times New Roman" w:hAnsi="Tahoma" w:cs="Tahoma"/>
          <w:color w:val="000000"/>
          <w:sz w:val="24"/>
          <w:szCs w:val="24"/>
          <w:lang w:eastAsia="en-AU"/>
        </w:rPr>
      </w:pPr>
      <w:r w:rsidRPr="00E047C3">
        <w:rPr>
          <w:rFonts w:ascii="Tahoma" w:eastAsia="Times New Roman" w:hAnsi="Tahoma" w:cs="Tahoma"/>
          <w:color w:val="000000"/>
          <w:sz w:val="24"/>
          <w:szCs w:val="24"/>
          <w:lang w:eastAsia="en-AU"/>
        </w:rPr>
        <w:t xml:space="preserve">Right to take part in cultural life, to enjoy the benefits of scientific progress and its applications and to benefit from the protection of the moral and material interests resulting </w:t>
      </w:r>
      <w:proofErr w:type="spellStart"/>
      <w:r w:rsidRPr="00E047C3">
        <w:rPr>
          <w:rFonts w:ascii="Tahoma" w:eastAsia="Times New Roman" w:hAnsi="Tahoma" w:cs="Tahoma"/>
          <w:color w:val="000000"/>
          <w:sz w:val="24"/>
          <w:szCs w:val="24"/>
          <w:lang w:eastAsia="en-AU"/>
        </w:rPr>
        <w:t>form</w:t>
      </w:r>
      <w:proofErr w:type="spellEnd"/>
      <w:r w:rsidRPr="00E047C3">
        <w:rPr>
          <w:rFonts w:ascii="Tahoma" w:eastAsia="Times New Roman" w:hAnsi="Tahoma" w:cs="Tahoma"/>
          <w:color w:val="000000"/>
          <w:sz w:val="24"/>
          <w:szCs w:val="24"/>
          <w:lang w:eastAsia="en-AU"/>
        </w:rPr>
        <w:t xml:space="preserve"> any scientific literary or artistic production of which s/he is the author (article 15)</w:t>
      </w:r>
    </w:p>
    <w:p w:rsidR="00E047C3" w:rsidRPr="00E047C3" w:rsidRDefault="00E047C3" w:rsidP="00E047C3">
      <w:pPr>
        <w:shd w:val="clear" w:color="auto" w:fill="FFFFFF"/>
        <w:spacing w:after="0" w:line="360" w:lineRule="atLeast"/>
        <w:rPr>
          <w:rFonts w:ascii="Tahoma" w:eastAsia="Times New Roman" w:hAnsi="Tahoma" w:cs="Tahoma"/>
          <w:color w:val="000000"/>
          <w:sz w:val="24"/>
          <w:szCs w:val="24"/>
          <w:lang w:eastAsia="en-AU"/>
        </w:rPr>
      </w:pPr>
      <w:r w:rsidRPr="00E047C3">
        <w:rPr>
          <w:rFonts w:ascii="Tahoma" w:eastAsia="Times New Roman" w:hAnsi="Tahoma" w:cs="Tahoma"/>
          <w:b/>
          <w:bCs/>
          <w:color w:val="000000"/>
          <w:sz w:val="24"/>
          <w:szCs w:val="24"/>
          <w:lang w:eastAsia="en-AU"/>
        </w:rPr>
        <w:t>State Obligations:</w:t>
      </w:r>
    </w:p>
    <w:p w:rsidR="00E047C3" w:rsidRPr="00E047C3" w:rsidRDefault="00E047C3" w:rsidP="00E047C3">
      <w:pPr>
        <w:numPr>
          <w:ilvl w:val="0"/>
          <w:numId w:val="2"/>
        </w:numPr>
        <w:shd w:val="clear" w:color="auto" w:fill="FFFFFF"/>
        <w:spacing w:after="0" w:line="312" w:lineRule="atLeast"/>
        <w:ind w:left="240"/>
        <w:rPr>
          <w:rFonts w:ascii="Tahoma" w:eastAsia="Times New Roman" w:hAnsi="Tahoma" w:cs="Tahoma"/>
          <w:color w:val="000000"/>
          <w:sz w:val="24"/>
          <w:szCs w:val="24"/>
          <w:lang w:eastAsia="en-AU"/>
        </w:rPr>
      </w:pPr>
      <w:r w:rsidRPr="00E047C3">
        <w:rPr>
          <w:rFonts w:ascii="Tahoma" w:eastAsia="Times New Roman" w:hAnsi="Tahoma" w:cs="Tahoma"/>
          <w:color w:val="000000"/>
          <w:sz w:val="24"/>
          <w:szCs w:val="24"/>
          <w:lang w:eastAsia="en-AU"/>
        </w:rPr>
        <w:t>Ensure enjoyment of minimum essential levels of human rights (the ‘minimum core’ of rights) in all but very limited circumstances. In order for a State party to be able to attribute its failure to meet at least its minimum core obligations to a lack of available resources it must demonstrate that every effort has been made to use all resources that are at its disposition in an effort to satisfy, as a matter of priority, those minimum obligations.</w:t>
      </w:r>
    </w:p>
    <w:p w:rsidR="00E047C3" w:rsidRPr="00E047C3" w:rsidRDefault="00E047C3" w:rsidP="00E047C3">
      <w:pPr>
        <w:numPr>
          <w:ilvl w:val="0"/>
          <w:numId w:val="2"/>
        </w:numPr>
        <w:shd w:val="clear" w:color="auto" w:fill="FFFFFF"/>
        <w:spacing w:after="0" w:line="312" w:lineRule="atLeast"/>
        <w:ind w:left="240"/>
        <w:rPr>
          <w:rFonts w:ascii="Tahoma" w:eastAsia="Times New Roman" w:hAnsi="Tahoma" w:cs="Tahoma"/>
          <w:color w:val="000000"/>
          <w:sz w:val="24"/>
          <w:szCs w:val="24"/>
          <w:lang w:eastAsia="en-AU"/>
        </w:rPr>
      </w:pPr>
      <w:r w:rsidRPr="00E047C3">
        <w:rPr>
          <w:rFonts w:ascii="Tahoma" w:eastAsia="Times New Roman" w:hAnsi="Tahoma" w:cs="Tahoma"/>
          <w:color w:val="000000"/>
          <w:sz w:val="24"/>
          <w:szCs w:val="24"/>
          <w:lang w:eastAsia="en-AU"/>
        </w:rPr>
        <w:t>Minimum core requirements:</w:t>
      </w:r>
    </w:p>
    <w:p w:rsidR="00E047C3" w:rsidRPr="00E047C3" w:rsidRDefault="00E047C3" w:rsidP="00E047C3">
      <w:pPr>
        <w:numPr>
          <w:ilvl w:val="1"/>
          <w:numId w:val="2"/>
        </w:numPr>
        <w:shd w:val="clear" w:color="auto" w:fill="FFFFFF"/>
        <w:spacing w:after="0" w:line="312" w:lineRule="atLeast"/>
        <w:ind w:left="480"/>
        <w:rPr>
          <w:rFonts w:ascii="Tahoma" w:eastAsia="Times New Roman" w:hAnsi="Tahoma" w:cs="Tahoma"/>
          <w:color w:val="000000"/>
          <w:sz w:val="24"/>
          <w:szCs w:val="24"/>
          <w:lang w:eastAsia="en-AU"/>
        </w:rPr>
      </w:pPr>
      <w:r w:rsidRPr="00E047C3">
        <w:rPr>
          <w:rFonts w:ascii="Tahoma" w:eastAsia="Times New Roman" w:hAnsi="Tahoma" w:cs="Tahoma"/>
          <w:color w:val="000000"/>
          <w:sz w:val="24"/>
          <w:szCs w:val="24"/>
          <w:lang w:eastAsia="en-AU"/>
        </w:rPr>
        <w:t>The minimum essential food which is sufficient, nutritionally adequate and safe</w:t>
      </w:r>
    </w:p>
    <w:p w:rsidR="00E047C3" w:rsidRPr="00E047C3" w:rsidRDefault="00E047C3" w:rsidP="00E047C3">
      <w:pPr>
        <w:numPr>
          <w:ilvl w:val="1"/>
          <w:numId w:val="2"/>
        </w:numPr>
        <w:shd w:val="clear" w:color="auto" w:fill="FFFFFF"/>
        <w:spacing w:after="0" w:line="312" w:lineRule="atLeast"/>
        <w:ind w:left="480"/>
        <w:rPr>
          <w:rFonts w:ascii="Tahoma" w:eastAsia="Times New Roman" w:hAnsi="Tahoma" w:cs="Tahoma"/>
          <w:color w:val="000000"/>
          <w:sz w:val="24"/>
          <w:szCs w:val="24"/>
          <w:lang w:eastAsia="en-AU"/>
        </w:rPr>
      </w:pPr>
      <w:r w:rsidRPr="00E047C3">
        <w:rPr>
          <w:rFonts w:ascii="Tahoma" w:eastAsia="Times New Roman" w:hAnsi="Tahoma" w:cs="Tahoma"/>
          <w:color w:val="000000"/>
          <w:sz w:val="24"/>
          <w:szCs w:val="24"/>
          <w:lang w:eastAsia="en-AU"/>
        </w:rPr>
        <w:t>Essential primary health care</w:t>
      </w:r>
    </w:p>
    <w:p w:rsidR="00E047C3" w:rsidRPr="00E047C3" w:rsidRDefault="00E047C3" w:rsidP="00E047C3">
      <w:pPr>
        <w:numPr>
          <w:ilvl w:val="1"/>
          <w:numId w:val="2"/>
        </w:numPr>
        <w:shd w:val="clear" w:color="auto" w:fill="FFFFFF"/>
        <w:spacing w:after="0" w:line="312" w:lineRule="atLeast"/>
        <w:ind w:left="480"/>
        <w:rPr>
          <w:rFonts w:ascii="Tahoma" w:eastAsia="Times New Roman" w:hAnsi="Tahoma" w:cs="Tahoma"/>
          <w:color w:val="000000"/>
          <w:sz w:val="24"/>
          <w:szCs w:val="24"/>
          <w:lang w:eastAsia="en-AU"/>
        </w:rPr>
      </w:pPr>
      <w:r w:rsidRPr="00E047C3">
        <w:rPr>
          <w:rFonts w:ascii="Tahoma" w:eastAsia="Times New Roman" w:hAnsi="Tahoma" w:cs="Tahoma"/>
          <w:color w:val="000000"/>
          <w:sz w:val="24"/>
          <w:szCs w:val="24"/>
          <w:lang w:eastAsia="en-AU"/>
        </w:rPr>
        <w:t>Basic shelter and housing</w:t>
      </w:r>
    </w:p>
    <w:p w:rsidR="00E047C3" w:rsidRPr="00E047C3" w:rsidRDefault="00E047C3" w:rsidP="00E047C3">
      <w:pPr>
        <w:numPr>
          <w:ilvl w:val="1"/>
          <w:numId w:val="2"/>
        </w:numPr>
        <w:shd w:val="clear" w:color="auto" w:fill="FFFFFF"/>
        <w:spacing w:after="0" w:line="312" w:lineRule="atLeast"/>
        <w:ind w:left="480"/>
        <w:rPr>
          <w:rFonts w:ascii="Tahoma" w:eastAsia="Times New Roman" w:hAnsi="Tahoma" w:cs="Tahoma"/>
          <w:color w:val="000000"/>
          <w:sz w:val="24"/>
          <w:szCs w:val="24"/>
          <w:lang w:eastAsia="en-AU"/>
        </w:rPr>
      </w:pPr>
      <w:r w:rsidRPr="00E047C3">
        <w:rPr>
          <w:rFonts w:ascii="Tahoma" w:eastAsia="Times New Roman" w:hAnsi="Tahoma" w:cs="Tahoma"/>
          <w:color w:val="000000"/>
          <w:sz w:val="24"/>
          <w:szCs w:val="24"/>
          <w:lang w:eastAsia="en-AU"/>
        </w:rPr>
        <w:t>Basic forms of education</w:t>
      </w:r>
    </w:p>
    <w:p w:rsidR="00E047C3" w:rsidRPr="00E047C3" w:rsidRDefault="00E047C3" w:rsidP="00E047C3">
      <w:pPr>
        <w:shd w:val="clear" w:color="auto" w:fill="FFFFFF"/>
        <w:spacing w:after="0" w:line="360" w:lineRule="atLeast"/>
        <w:rPr>
          <w:rFonts w:ascii="Tahoma" w:eastAsia="Times New Roman" w:hAnsi="Tahoma" w:cs="Tahoma"/>
          <w:color w:val="000000"/>
          <w:sz w:val="24"/>
          <w:szCs w:val="24"/>
          <w:lang w:eastAsia="en-AU"/>
        </w:rPr>
      </w:pPr>
      <w:r w:rsidRPr="00E047C3">
        <w:rPr>
          <w:rFonts w:ascii="Tahoma" w:eastAsia="Times New Roman" w:hAnsi="Tahoma" w:cs="Tahoma"/>
          <w:b/>
          <w:bCs/>
          <w:color w:val="000000"/>
          <w:sz w:val="24"/>
          <w:szCs w:val="24"/>
          <w:lang w:eastAsia="en-AU"/>
        </w:rPr>
        <w:t>Overarching Obligations:</w:t>
      </w:r>
    </w:p>
    <w:p w:rsidR="00E047C3" w:rsidRPr="00E047C3" w:rsidRDefault="00E047C3" w:rsidP="00E047C3">
      <w:pPr>
        <w:shd w:val="clear" w:color="auto" w:fill="FFFFFF"/>
        <w:spacing w:before="240" w:after="240" w:line="360" w:lineRule="atLeast"/>
        <w:rPr>
          <w:rFonts w:ascii="Tahoma" w:eastAsia="Times New Roman" w:hAnsi="Tahoma" w:cs="Tahoma"/>
          <w:color w:val="000000"/>
          <w:sz w:val="24"/>
          <w:szCs w:val="24"/>
          <w:lang w:eastAsia="en-AU"/>
        </w:rPr>
      </w:pPr>
      <w:r w:rsidRPr="00E047C3">
        <w:rPr>
          <w:rFonts w:ascii="Tahoma" w:eastAsia="Times New Roman" w:hAnsi="Tahoma" w:cs="Tahoma"/>
          <w:color w:val="000000"/>
          <w:sz w:val="24"/>
          <w:szCs w:val="24"/>
          <w:lang w:eastAsia="en-AU"/>
        </w:rPr>
        <w:t>The Committee on Economic, Social and Cultural Rights has employed the following analytical framework in setting out state obligations. This is sometimes known as the ‘tripartite typology’. According to the Committee, states parties have the following obligations:</w:t>
      </w:r>
    </w:p>
    <w:p w:rsidR="00E047C3" w:rsidRPr="00E047C3" w:rsidRDefault="00E047C3" w:rsidP="00E047C3">
      <w:pPr>
        <w:numPr>
          <w:ilvl w:val="0"/>
          <w:numId w:val="3"/>
        </w:numPr>
        <w:shd w:val="clear" w:color="auto" w:fill="FFFFFF"/>
        <w:spacing w:after="0" w:line="312" w:lineRule="atLeast"/>
        <w:ind w:left="240"/>
        <w:rPr>
          <w:rFonts w:ascii="Tahoma" w:eastAsia="Times New Roman" w:hAnsi="Tahoma" w:cs="Tahoma"/>
          <w:color w:val="000000"/>
          <w:sz w:val="24"/>
          <w:szCs w:val="24"/>
          <w:lang w:eastAsia="en-AU"/>
        </w:rPr>
      </w:pPr>
      <w:r w:rsidRPr="00E047C3">
        <w:rPr>
          <w:rFonts w:ascii="Tahoma" w:eastAsia="Times New Roman" w:hAnsi="Tahoma" w:cs="Tahoma"/>
          <w:color w:val="000000"/>
          <w:sz w:val="24"/>
          <w:szCs w:val="24"/>
          <w:lang w:eastAsia="en-AU"/>
        </w:rPr>
        <w:t>Respect – the obligation to respect requires governments to refrain from interfering directly or indirectly with enjoyment of ESC rights itself</w:t>
      </w:r>
    </w:p>
    <w:p w:rsidR="00E047C3" w:rsidRPr="00E047C3" w:rsidRDefault="00E047C3" w:rsidP="00E047C3">
      <w:pPr>
        <w:numPr>
          <w:ilvl w:val="0"/>
          <w:numId w:val="3"/>
        </w:numPr>
        <w:shd w:val="clear" w:color="auto" w:fill="FFFFFF"/>
        <w:spacing w:after="0" w:line="312" w:lineRule="atLeast"/>
        <w:ind w:left="240"/>
        <w:rPr>
          <w:rFonts w:ascii="Tahoma" w:eastAsia="Times New Roman" w:hAnsi="Tahoma" w:cs="Tahoma"/>
          <w:color w:val="000000"/>
          <w:sz w:val="24"/>
          <w:szCs w:val="24"/>
          <w:lang w:eastAsia="en-AU"/>
        </w:rPr>
      </w:pPr>
      <w:r w:rsidRPr="00E047C3">
        <w:rPr>
          <w:rFonts w:ascii="Tahoma" w:eastAsia="Times New Roman" w:hAnsi="Tahoma" w:cs="Tahoma"/>
          <w:color w:val="000000"/>
          <w:sz w:val="24"/>
          <w:szCs w:val="24"/>
          <w:lang w:eastAsia="en-AU"/>
        </w:rPr>
        <w:t xml:space="preserve">Protect – the obligation to protect requires governments to prevent third parties, such as corporations or paramilitaries from interfering in any ways with the enjoyment </w:t>
      </w:r>
      <w:proofErr w:type="spellStart"/>
      <w:r w:rsidRPr="00E047C3">
        <w:rPr>
          <w:rFonts w:ascii="Tahoma" w:eastAsia="Times New Roman" w:hAnsi="Tahoma" w:cs="Tahoma"/>
          <w:color w:val="000000"/>
          <w:sz w:val="24"/>
          <w:szCs w:val="24"/>
          <w:lang w:eastAsia="en-AU"/>
        </w:rPr>
        <w:t>ofESC</w:t>
      </w:r>
      <w:proofErr w:type="spellEnd"/>
      <w:r w:rsidRPr="00E047C3">
        <w:rPr>
          <w:rFonts w:ascii="Tahoma" w:eastAsia="Times New Roman" w:hAnsi="Tahoma" w:cs="Tahoma"/>
          <w:color w:val="000000"/>
          <w:sz w:val="24"/>
          <w:szCs w:val="24"/>
          <w:lang w:eastAsia="en-AU"/>
        </w:rPr>
        <w:t> rights</w:t>
      </w:r>
    </w:p>
    <w:p w:rsidR="0067273C" w:rsidRDefault="00E047C3" w:rsidP="00E047C3">
      <w:pPr>
        <w:numPr>
          <w:ilvl w:val="0"/>
          <w:numId w:val="3"/>
        </w:numPr>
        <w:shd w:val="clear" w:color="auto" w:fill="FFFFFF"/>
        <w:spacing w:after="0" w:line="312" w:lineRule="atLeast"/>
        <w:ind w:left="240"/>
      </w:pPr>
      <w:proofErr w:type="spellStart"/>
      <w:r w:rsidRPr="00E047C3">
        <w:rPr>
          <w:rFonts w:ascii="Tahoma" w:eastAsia="Times New Roman" w:hAnsi="Tahoma" w:cs="Tahoma"/>
          <w:color w:val="000000"/>
          <w:sz w:val="24"/>
          <w:szCs w:val="24"/>
          <w:lang w:eastAsia="en-AU"/>
        </w:rPr>
        <w:t>Fulfill</w:t>
      </w:r>
      <w:proofErr w:type="spellEnd"/>
      <w:r w:rsidRPr="00E047C3">
        <w:rPr>
          <w:rFonts w:ascii="Tahoma" w:eastAsia="Times New Roman" w:hAnsi="Tahoma" w:cs="Tahoma"/>
          <w:color w:val="000000"/>
          <w:sz w:val="24"/>
          <w:szCs w:val="24"/>
          <w:lang w:eastAsia="en-AU"/>
        </w:rPr>
        <w:t xml:space="preserve"> – the obligation to </w:t>
      </w:r>
      <w:proofErr w:type="spellStart"/>
      <w:r w:rsidRPr="00E047C3">
        <w:rPr>
          <w:rFonts w:ascii="Tahoma" w:eastAsia="Times New Roman" w:hAnsi="Tahoma" w:cs="Tahoma"/>
          <w:color w:val="000000"/>
          <w:sz w:val="24"/>
          <w:szCs w:val="24"/>
          <w:lang w:eastAsia="en-AU"/>
        </w:rPr>
        <w:t>fulfill</w:t>
      </w:r>
      <w:proofErr w:type="spellEnd"/>
      <w:r w:rsidRPr="00E047C3">
        <w:rPr>
          <w:rFonts w:ascii="Tahoma" w:eastAsia="Times New Roman" w:hAnsi="Tahoma" w:cs="Tahoma"/>
          <w:color w:val="000000"/>
          <w:sz w:val="24"/>
          <w:szCs w:val="24"/>
          <w:lang w:eastAsia="en-AU"/>
        </w:rPr>
        <w:t xml:space="preserve"> requires governments to adopt the necessary measures to achieve the full realization of ESC rights)</w:t>
      </w:r>
    </w:p>
    <w:sectPr w:rsidR="0067273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C50175"/>
    <w:multiLevelType w:val="multilevel"/>
    <w:tmpl w:val="12BE6A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29D0765"/>
    <w:multiLevelType w:val="multilevel"/>
    <w:tmpl w:val="A712F3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1FB3A06"/>
    <w:multiLevelType w:val="multilevel"/>
    <w:tmpl w:val="8C783B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47C3"/>
    <w:rsid w:val="001465D0"/>
    <w:rsid w:val="0067273C"/>
    <w:rsid w:val="00E047C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BalloonText"/>
    <w:qFormat/>
    <w:rsid w:val="001465D0"/>
    <w:rPr>
      <w:sz w:val="28"/>
    </w:rPr>
  </w:style>
  <w:style w:type="paragraph" w:styleId="Heading4">
    <w:name w:val="heading 4"/>
    <w:basedOn w:val="Normal"/>
    <w:link w:val="Heading4Char"/>
    <w:uiPriority w:val="9"/>
    <w:qFormat/>
    <w:rsid w:val="00E047C3"/>
    <w:pPr>
      <w:spacing w:before="100" w:beforeAutospacing="1" w:after="100" w:afterAutospacing="1" w:line="240" w:lineRule="auto"/>
      <w:outlineLvl w:val="3"/>
    </w:pPr>
    <w:rPr>
      <w:rFonts w:ascii="Times New Roman" w:eastAsia="Times New Roman" w:hAnsi="Times New Roman" w:cs="Times New Roman"/>
      <w:b/>
      <w:bCs/>
      <w:sz w:val="24"/>
      <w:szCs w:val="24"/>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465D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465D0"/>
    <w:rPr>
      <w:rFonts w:ascii="Tahoma" w:hAnsi="Tahoma" w:cs="Tahoma"/>
      <w:sz w:val="16"/>
      <w:szCs w:val="16"/>
    </w:rPr>
  </w:style>
  <w:style w:type="character" w:customStyle="1" w:styleId="Heading4Char">
    <w:name w:val="Heading 4 Char"/>
    <w:basedOn w:val="DefaultParagraphFont"/>
    <w:link w:val="Heading4"/>
    <w:uiPriority w:val="9"/>
    <w:rsid w:val="00E047C3"/>
    <w:rPr>
      <w:rFonts w:ascii="Times New Roman" w:eastAsia="Times New Roman" w:hAnsi="Times New Roman" w:cs="Times New Roman"/>
      <w:b/>
      <w:bCs/>
      <w:sz w:val="24"/>
      <w:szCs w:val="24"/>
      <w:lang w:eastAsia="en-AU"/>
    </w:rPr>
  </w:style>
  <w:style w:type="paragraph" w:styleId="NormalWeb">
    <w:name w:val="Normal (Web)"/>
    <w:basedOn w:val="Normal"/>
    <w:uiPriority w:val="99"/>
    <w:semiHidden/>
    <w:unhideWhenUsed/>
    <w:rsid w:val="00E047C3"/>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Strong">
    <w:name w:val="Strong"/>
    <w:basedOn w:val="DefaultParagraphFont"/>
    <w:uiPriority w:val="22"/>
    <w:qFormat/>
    <w:rsid w:val="00E047C3"/>
    <w:rPr>
      <w:b/>
      <w:bCs/>
    </w:rPr>
  </w:style>
  <w:style w:type="character" w:customStyle="1" w:styleId="apple-converted-space">
    <w:name w:val="apple-converted-space"/>
    <w:basedOn w:val="DefaultParagraphFont"/>
    <w:rsid w:val="00E047C3"/>
  </w:style>
  <w:style w:type="character" w:styleId="HTMLAcronym">
    <w:name w:val="HTML Acronym"/>
    <w:basedOn w:val="DefaultParagraphFont"/>
    <w:uiPriority w:val="99"/>
    <w:semiHidden/>
    <w:unhideWhenUsed/>
    <w:rsid w:val="00E047C3"/>
  </w:style>
  <w:style w:type="paragraph" w:customStyle="1" w:styleId="escfootnote">
    <w:name w:val="escfootnote"/>
    <w:basedOn w:val="Normal"/>
    <w:rsid w:val="00E047C3"/>
    <w:pPr>
      <w:spacing w:before="100" w:beforeAutospacing="1" w:after="100" w:afterAutospacing="1" w:line="240" w:lineRule="auto"/>
    </w:pPr>
    <w:rPr>
      <w:rFonts w:ascii="Times New Roman" w:eastAsia="Times New Roman" w:hAnsi="Times New Roman" w:cs="Times New Roman"/>
      <w:sz w:val="24"/>
      <w:szCs w:val="24"/>
      <w:lang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BalloonText"/>
    <w:qFormat/>
    <w:rsid w:val="001465D0"/>
    <w:rPr>
      <w:sz w:val="28"/>
    </w:rPr>
  </w:style>
  <w:style w:type="paragraph" w:styleId="Heading4">
    <w:name w:val="heading 4"/>
    <w:basedOn w:val="Normal"/>
    <w:link w:val="Heading4Char"/>
    <w:uiPriority w:val="9"/>
    <w:qFormat/>
    <w:rsid w:val="00E047C3"/>
    <w:pPr>
      <w:spacing w:before="100" w:beforeAutospacing="1" w:after="100" w:afterAutospacing="1" w:line="240" w:lineRule="auto"/>
      <w:outlineLvl w:val="3"/>
    </w:pPr>
    <w:rPr>
      <w:rFonts w:ascii="Times New Roman" w:eastAsia="Times New Roman" w:hAnsi="Times New Roman" w:cs="Times New Roman"/>
      <w:b/>
      <w:bCs/>
      <w:sz w:val="24"/>
      <w:szCs w:val="24"/>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465D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465D0"/>
    <w:rPr>
      <w:rFonts w:ascii="Tahoma" w:hAnsi="Tahoma" w:cs="Tahoma"/>
      <w:sz w:val="16"/>
      <w:szCs w:val="16"/>
    </w:rPr>
  </w:style>
  <w:style w:type="character" w:customStyle="1" w:styleId="Heading4Char">
    <w:name w:val="Heading 4 Char"/>
    <w:basedOn w:val="DefaultParagraphFont"/>
    <w:link w:val="Heading4"/>
    <w:uiPriority w:val="9"/>
    <w:rsid w:val="00E047C3"/>
    <w:rPr>
      <w:rFonts w:ascii="Times New Roman" w:eastAsia="Times New Roman" w:hAnsi="Times New Roman" w:cs="Times New Roman"/>
      <w:b/>
      <w:bCs/>
      <w:sz w:val="24"/>
      <w:szCs w:val="24"/>
      <w:lang w:eastAsia="en-AU"/>
    </w:rPr>
  </w:style>
  <w:style w:type="paragraph" w:styleId="NormalWeb">
    <w:name w:val="Normal (Web)"/>
    <w:basedOn w:val="Normal"/>
    <w:uiPriority w:val="99"/>
    <w:semiHidden/>
    <w:unhideWhenUsed/>
    <w:rsid w:val="00E047C3"/>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Strong">
    <w:name w:val="Strong"/>
    <w:basedOn w:val="DefaultParagraphFont"/>
    <w:uiPriority w:val="22"/>
    <w:qFormat/>
    <w:rsid w:val="00E047C3"/>
    <w:rPr>
      <w:b/>
      <w:bCs/>
    </w:rPr>
  </w:style>
  <w:style w:type="character" w:customStyle="1" w:styleId="apple-converted-space">
    <w:name w:val="apple-converted-space"/>
    <w:basedOn w:val="DefaultParagraphFont"/>
    <w:rsid w:val="00E047C3"/>
  </w:style>
  <w:style w:type="character" w:styleId="HTMLAcronym">
    <w:name w:val="HTML Acronym"/>
    <w:basedOn w:val="DefaultParagraphFont"/>
    <w:uiPriority w:val="99"/>
    <w:semiHidden/>
    <w:unhideWhenUsed/>
    <w:rsid w:val="00E047C3"/>
  </w:style>
  <w:style w:type="paragraph" w:customStyle="1" w:styleId="escfootnote">
    <w:name w:val="escfootnote"/>
    <w:basedOn w:val="Normal"/>
    <w:rsid w:val="00E047C3"/>
    <w:pPr>
      <w:spacing w:before="100" w:beforeAutospacing="1" w:after="100" w:afterAutospacing="1" w:line="240" w:lineRule="auto"/>
    </w:pPr>
    <w:rPr>
      <w:rFonts w:ascii="Times New Roman" w:eastAsia="Times New Roman" w:hAnsi="Times New Roman" w:cs="Times New Roman"/>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93661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320</Words>
  <Characters>1827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Lismore Catholic Education</Company>
  <LinksUpToDate>false</LinksUpToDate>
  <CharactersWithSpaces>2143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PMAC-S-CFRANEY$</dc:creator>
  <cp:lastModifiedBy>PMAC-S-CFRANEY$</cp:lastModifiedBy>
  <cp:revision>1</cp:revision>
  <dcterms:created xsi:type="dcterms:W3CDTF">2014-02-11T02:46:00Z</dcterms:created>
  <dcterms:modified xsi:type="dcterms:W3CDTF">2014-02-11T02:47:00Z</dcterms:modified>
</cp:coreProperties>
</file>