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C" w:rsidRPr="00BA3455" w:rsidRDefault="0067273C">
      <w:pPr>
        <w:rPr>
          <w:szCs w:val="24"/>
        </w:rPr>
      </w:pPr>
    </w:p>
    <w:p w:rsidR="00BA3455" w:rsidRDefault="00BA3455" w:rsidP="00BA3455">
      <w:pPr>
        <w:pStyle w:val="ActHead5"/>
      </w:pPr>
      <w:bookmarkStart w:id="0" w:name="_Toc369182194"/>
      <w:proofErr w:type="gramStart"/>
      <w:r>
        <w:rPr>
          <w:rStyle w:val="CharSectno"/>
        </w:rPr>
        <w:t>60CA</w:t>
      </w:r>
      <w:r>
        <w:t xml:space="preserve">  Child’s</w:t>
      </w:r>
      <w:proofErr w:type="gramEnd"/>
      <w:r>
        <w:t xml:space="preserve"> best interests paramount consideration in making a parenting order</w:t>
      </w:r>
      <w:bookmarkEnd w:id="0"/>
    </w:p>
    <w:p w:rsidR="00BA3455" w:rsidRDefault="00BA3455" w:rsidP="00BA3455">
      <w:pPr>
        <w:pStyle w:val="subsection"/>
      </w:pPr>
      <w:r>
        <w:tab/>
      </w:r>
      <w:r>
        <w:tab/>
        <w:t>In deciding whether to make a particular parenting order in relation to a child, a court must regard the best interests of the child as the paramount consideration.</w:t>
      </w:r>
    </w:p>
    <w:p w:rsidR="002E3A08" w:rsidRDefault="002E3A08" w:rsidP="002E3A08">
      <w:pPr>
        <w:pStyle w:val="BalloonText"/>
        <w:rPr>
          <w:sz w:val="24"/>
          <w:szCs w:val="24"/>
        </w:rPr>
      </w:pPr>
    </w:p>
    <w:p w:rsidR="00BA3455" w:rsidRDefault="00BA3455" w:rsidP="00BA3455">
      <w:pPr>
        <w:pStyle w:val="ActHead5"/>
      </w:pPr>
      <w:bookmarkStart w:id="1" w:name="_Toc369182196"/>
      <w:proofErr w:type="gramStart"/>
      <w:r>
        <w:rPr>
          <w:rStyle w:val="CharSectno"/>
        </w:rPr>
        <w:t>60CC</w:t>
      </w:r>
      <w:r>
        <w:t xml:space="preserve">  How</w:t>
      </w:r>
      <w:proofErr w:type="gramEnd"/>
      <w:r>
        <w:t xml:space="preserve"> a court determines what is in a child’s best interests</w:t>
      </w:r>
      <w:bookmarkEnd w:id="1"/>
    </w:p>
    <w:p w:rsidR="00BA3455" w:rsidRDefault="00BA3455" w:rsidP="00BA3455">
      <w:pPr>
        <w:pStyle w:val="SubsectionHead"/>
      </w:pPr>
      <w:r>
        <w:t>Determining child’s best interests</w:t>
      </w:r>
    </w:p>
    <w:p w:rsidR="00BA3455" w:rsidRDefault="00BA3455" w:rsidP="00BA3455">
      <w:pPr>
        <w:pStyle w:val="subsection"/>
      </w:pPr>
      <w:r>
        <w:tab/>
        <w:t>(1)</w:t>
      </w:r>
      <w:r>
        <w:tab/>
        <w:t>Subject to subsection (5), in determining what is in the child’s best interests, the court must consider the matters set out in subsections (2) and (3).</w:t>
      </w:r>
    </w:p>
    <w:p w:rsidR="00BA3455" w:rsidRDefault="00BA3455" w:rsidP="00BA3455">
      <w:pPr>
        <w:pStyle w:val="SubsectionHead"/>
      </w:pPr>
      <w:r>
        <w:t>Primary considerations</w:t>
      </w:r>
    </w:p>
    <w:p w:rsidR="00BA3455" w:rsidRDefault="00BA3455" w:rsidP="00BA3455">
      <w:pPr>
        <w:pStyle w:val="subsection"/>
      </w:pPr>
      <w:r>
        <w:tab/>
        <w:t>(2)</w:t>
      </w:r>
      <w:r>
        <w:tab/>
        <w:t>The primary considerations are:</w:t>
      </w:r>
    </w:p>
    <w:p w:rsidR="00BA3455" w:rsidRDefault="00BA3455" w:rsidP="00BA3455">
      <w:pPr>
        <w:pStyle w:val="paragraph"/>
      </w:pPr>
      <w:r>
        <w:tab/>
        <w:t>(a)</w:t>
      </w:r>
      <w:r>
        <w:tab/>
      </w:r>
      <w:proofErr w:type="gramStart"/>
      <w:r>
        <w:t>the</w:t>
      </w:r>
      <w:proofErr w:type="gramEnd"/>
      <w:r>
        <w:t xml:space="preserve"> benefit to the child of having a meaningful relationship with both of the child’s parents; and</w:t>
      </w:r>
    </w:p>
    <w:p w:rsidR="00BA3455" w:rsidRDefault="00BA3455" w:rsidP="00BA3455">
      <w:pPr>
        <w:pStyle w:val="paragraph"/>
      </w:pPr>
      <w:r>
        <w:tab/>
        <w:t>(b)</w:t>
      </w:r>
      <w:r>
        <w:tab/>
      </w:r>
      <w:proofErr w:type="gramStart"/>
      <w:r>
        <w:t>the</w:t>
      </w:r>
      <w:proofErr w:type="gramEnd"/>
      <w:r>
        <w:t xml:space="preserve"> need to protect the child from physical or psychological harm from being subjected to, or exposed to, abuse, neglect or family violence.</w:t>
      </w:r>
    </w:p>
    <w:p w:rsidR="00BA3455" w:rsidRDefault="00BA3455" w:rsidP="00BA3455">
      <w:pPr>
        <w:pStyle w:val="notetext"/>
      </w:pPr>
      <w:r>
        <w:t>Note:</w:t>
      </w:r>
      <w:r>
        <w:tab/>
        <w:t xml:space="preserve">Making these considerations the primary ones is consistent with the objects of this Part set out in paragraphs </w:t>
      </w:r>
      <w:proofErr w:type="gramStart"/>
      <w:r>
        <w:t>60B(</w:t>
      </w:r>
      <w:proofErr w:type="gramEnd"/>
      <w:r>
        <w:t>1)(a) and (b).</w:t>
      </w:r>
    </w:p>
    <w:p w:rsidR="00BA3455" w:rsidRDefault="00BA3455" w:rsidP="00BA3455">
      <w:pPr>
        <w:pStyle w:val="subsection"/>
      </w:pPr>
      <w:r>
        <w:tab/>
        <w:t>(2A)</w:t>
      </w:r>
      <w:r>
        <w:tab/>
        <w:t>In applying the considerations set out in subsection (2), the court is to give greater weight to the consideration set out in paragraph (2</w:t>
      </w:r>
      <w:proofErr w:type="gramStart"/>
      <w:r>
        <w:t>)(</w:t>
      </w:r>
      <w:proofErr w:type="gramEnd"/>
      <w:r>
        <w:t>b).</w:t>
      </w:r>
    </w:p>
    <w:p w:rsidR="00BA3455" w:rsidRDefault="00BA3455" w:rsidP="00BA3455">
      <w:pPr>
        <w:pStyle w:val="SubsectionHead"/>
      </w:pPr>
      <w:r>
        <w:t>Additional considerations</w:t>
      </w:r>
    </w:p>
    <w:p w:rsidR="00BA3455" w:rsidRDefault="00BA3455" w:rsidP="00BA3455">
      <w:pPr>
        <w:pStyle w:val="subsection"/>
      </w:pPr>
      <w:r>
        <w:tab/>
        <w:t>(3)</w:t>
      </w:r>
      <w:r>
        <w:tab/>
        <w:t>Additional considerations are:</w:t>
      </w:r>
    </w:p>
    <w:p w:rsidR="00BA3455" w:rsidRDefault="00BA3455" w:rsidP="00BA3455">
      <w:pPr>
        <w:pStyle w:val="paragraph"/>
      </w:pPr>
      <w:r>
        <w:tab/>
        <w:t>(a)</w:t>
      </w:r>
      <w:r>
        <w:tab/>
        <w:t>any views expressed by the child and any factors (such as the child’s maturity or level of understanding) that the court thinks are relevant to the weight it should give to the child’s views;</w:t>
      </w:r>
    </w:p>
    <w:p w:rsidR="00BA3455" w:rsidRDefault="00BA3455" w:rsidP="00BA3455">
      <w:pPr>
        <w:pStyle w:val="paragraph"/>
      </w:pPr>
      <w:r>
        <w:tab/>
        <w:t>(b)</w:t>
      </w:r>
      <w:r>
        <w:tab/>
      </w:r>
      <w:proofErr w:type="gramStart"/>
      <w:r>
        <w:t>the</w:t>
      </w:r>
      <w:proofErr w:type="gramEnd"/>
      <w:r>
        <w:t xml:space="preserve"> nature of the relationship of the child with:</w:t>
      </w:r>
    </w:p>
    <w:p w:rsidR="00BA3455" w:rsidRDefault="00BA3455" w:rsidP="00BA3455">
      <w:pPr>
        <w:pStyle w:val="paragraphsub"/>
      </w:pPr>
      <w:r>
        <w:tab/>
        <w:t>(i)</w:t>
      </w:r>
      <w:r>
        <w:tab/>
      </w:r>
      <w:proofErr w:type="gramStart"/>
      <w:r>
        <w:t>each</w:t>
      </w:r>
      <w:proofErr w:type="gramEnd"/>
      <w:r>
        <w:t xml:space="preserve"> of the child’s parents; and</w:t>
      </w:r>
    </w:p>
    <w:p w:rsidR="00BA3455" w:rsidRDefault="00BA3455" w:rsidP="00BA3455">
      <w:pPr>
        <w:pStyle w:val="paragraphsub"/>
      </w:pPr>
      <w:r>
        <w:tab/>
        <w:t>(ii)</w:t>
      </w:r>
      <w:r>
        <w:tab/>
      </w:r>
      <w:proofErr w:type="gramStart"/>
      <w:r>
        <w:t>other</w:t>
      </w:r>
      <w:proofErr w:type="gramEnd"/>
      <w:r>
        <w:t xml:space="preserve"> persons (including any grandparent or other relative of the child);</w:t>
      </w:r>
    </w:p>
    <w:p w:rsidR="00BA3455" w:rsidRDefault="00BA3455" w:rsidP="00BA3455">
      <w:pPr>
        <w:pStyle w:val="paragraph"/>
      </w:pPr>
      <w:r>
        <w:tab/>
        <w:t>(c)</w:t>
      </w:r>
      <w:r>
        <w:tab/>
      </w:r>
      <w:proofErr w:type="gramStart"/>
      <w:r>
        <w:t>the</w:t>
      </w:r>
      <w:proofErr w:type="gramEnd"/>
      <w:r>
        <w:t xml:space="preserve"> extent to which each of the child’s parents has taken, or failed to take, the opportunity:</w:t>
      </w:r>
    </w:p>
    <w:p w:rsidR="00BA3455" w:rsidRDefault="00BA3455" w:rsidP="00BA3455">
      <w:pPr>
        <w:pStyle w:val="paragraphsub"/>
      </w:pPr>
      <w:r>
        <w:tab/>
        <w:t>(i)</w:t>
      </w:r>
      <w:r>
        <w:tab/>
      </w:r>
      <w:proofErr w:type="gramStart"/>
      <w:r>
        <w:t>to</w:t>
      </w:r>
      <w:proofErr w:type="gramEnd"/>
      <w:r>
        <w:t xml:space="preserve"> participate in making decisions about major long</w:t>
      </w:r>
      <w:r>
        <w:noBreakHyphen/>
        <w:t>term issues in relation to the child; and</w:t>
      </w:r>
    </w:p>
    <w:p w:rsidR="00BA3455" w:rsidRDefault="00BA3455" w:rsidP="00BA3455">
      <w:pPr>
        <w:pStyle w:val="paragraphsub"/>
      </w:pPr>
      <w:r>
        <w:tab/>
        <w:t>(ii)</w:t>
      </w:r>
      <w:r>
        <w:tab/>
      </w:r>
      <w:proofErr w:type="gramStart"/>
      <w:r>
        <w:t>to</w:t>
      </w:r>
      <w:proofErr w:type="gramEnd"/>
      <w:r>
        <w:t xml:space="preserve"> spend time with the child; and</w:t>
      </w:r>
    </w:p>
    <w:p w:rsidR="00BA3455" w:rsidRDefault="00BA3455" w:rsidP="00BA3455">
      <w:pPr>
        <w:pStyle w:val="paragraphsub"/>
      </w:pPr>
      <w:r>
        <w:tab/>
        <w:t>(iii)</w:t>
      </w:r>
      <w:r>
        <w:tab/>
      </w:r>
      <w:proofErr w:type="gramStart"/>
      <w:r>
        <w:t>to</w:t>
      </w:r>
      <w:proofErr w:type="gramEnd"/>
      <w:r>
        <w:t xml:space="preserve"> communicate with the child;</w:t>
      </w:r>
    </w:p>
    <w:p w:rsidR="00BA3455" w:rsidRDefault="00BA3455" w:rsidP="00BA3455">
      <w:pPr>
        <w:pStyle w:val="paragraph"/>
      </w:pPr>
      <w:r>
        <w:tab/>
        <w:t>(</w:t>
      </w:r>
      <w:proofErr w:type="spellStart"/>
      <w:r>
        <w:t>ca</w:t>
      </w:r>
      <w:proofErr w:type="spellEnd"/>
      <w:r>
        <w:t>)</w:t>
      </w:r>
      <w:r>
        <w:tab/>
        <w:t>the extent to which each of the child’s parents has fulfilled, or failed to fulfil, the parent’s obligations to maintain the child;</w:t>
      </w:r>
    </w:p>
    <w:p w:rsidR="00BA3455" w:rsidRDefault="00BA3455" w:rsidP="00BA3455">
      <w:pPr>
        <w:pStyle w:val="paragraph"/>
      </w:pPr>
      <w:r>
        <w:tab/>
        <w:t>(d)</w:t>
      </w:r>
      <w:r>
        <w:tab/>
      </w:r>
      <w:proofErr w:type="gramStart"/>
      <w:r>
        <w:t>the</w:t>
      </w:r>
      <w:proofErr w:type="gramEnd"/>
      <w:r>
        <w:t xml:space="preserve"> likely effect of any changes in the child’s circumstances, including the likely effect on the child of any separation from:</w:t>
      </w:r>
    </w:p>
    <w:p w:rsidR="00BA3455" w:rsidRDefault="00BA3455" w:rsidP="00BA3455">
      <w:pPr>
        <w:pStyle w:val="paragraphsub"/>
      </w:pPr>
      <w:r>
        <w:tab/>
        <w:t>(i)</w:t>
      </w:r>
      <w:r>
        <w:tab/>
      </w:r>
      <w:proofErr w:type="gramStart"/>
      <w:r>
        <w:t>either</w:t>
      </w:r>
      <w:proofErr w:type="gramEnd"/>
      <w:r>
        <w:t xml:space="preserve"> of his or her parents; or</w:t>
      </w:r>
    </w:p>
    <w:p w:rsidR="00BA3455" w:rsidRDefault="00BA3455" w:rsidP="00BA3455">
      <w:pPr>
        <w:pStyle w:val="paragraphsub"/>
      </w:pPr>
      <w:r>
        <w:tab/>
        <w:t>(ii)</w:t>
      </w:r>
      <w:r>
        <w:tab/>
      </w:r>
      <w:proofErr w:type="gramStart"/>
      <w:r>
        <w:t>any</w:t>
      </w:r>
      <w:proofErr w:type="gramEnd"/>
      <w:r>
        <w:t xml:space="preserve"> other child, or other person (including any grandparent or other relative of the child), with whom he or she has been living;</w:t>
      </w:r>
    </w:p>
    <w:p w:rsidR="00BA3455" w:rsidRDefault="00BA3455" w:rsidP="00BA3455">
      <w:pPr>
        <w:pStyle w:val="paragraph"/>
      </w:pPr>
      <w:r>
        <w:tab/>
        <w:t>(e)</w:t>
      </w:r>
      <w:r>
        <w:tab/>
        <w:t xml:space="preserve">the practical difficulty and expense of a child spending time with and communicating with a parent and whether that difficulty or expense will </w:t>
      </w:r>
      <w:r>
        <w:lastRenderedPageBreak/>
        <w:t>substantially affect the child’s right to maintain personal relations and direct contact with both parents on a regular basis;</w:t>
      </w:r>
    </w:p>
    <w:p w:rsidR="00BA3455" w:rsidRDefault="00BA3455" w:rsidP="00BA3455">
      <w:pPr>
        <w:pStyle w:val="paragraph"/>
      </w:pPr>
      <w:r>
        <w:tab/>
        <w:t>(f)</w:t>
      </w:r>
      <w:r>
        <w:tab/>
      </w:r>
      <w:proofErr w:type="gramStart"/>
      <w:r>
        <w:t>the</w:t>
      </w:r>
      <w:proofErr w:type="gramEnd"/>
      <w:r>
        <w:t xml:space="preserve"> capacity of:</w:t>
      </w:r>
    </w:p>
    <w:p w:rsidR="00BA3455" w:rsidRDefault="00BA3455" w:rsidP="00BA3455">
      <w:pPr>
        <w:pStyle w:val="paragraphsub"/>
      </w:pPr>
      <w:r>
        <w:tab/>
        <w:t>(i)</w:t>
      </w:r>
      <w:r>
        <w:tab/>
      </w:r>
      <w:proofErr w:type="gramStart"/>
      <w:r>
        <w:t>each</w:t>
      </w:r>
      <w:proofErr w:type="gramEnd"/>
      <w:r>
        <w:t xml:space="preserve"> of the child’s parents; and</w:t>
      </w:r>
    </w:p>
    <w:p w:rsidR="00BA3455" w:rsidRDefault="00BA3455" w:rsidP="00BA3455">
      <w:pPr>
        <w:pStyle w:val="paragraphsub"/>
      </w:pPr>
      <w:r>
        <w:tab/>
        <w:t>(ii)</w:t>
      </w:r>
      <w:r>
        <w:tab/>
      </w:r>
      <w:proofErr w:type="gramStart"/>
      <w:r>
        <w:t>any</w:t>
      </w:r>
      <w:proofErr w:type="gramEnd"/>
      <w:r>
        <w:t xml:space="preserve"> other person (including any grandparent or other relative of the child);</w:t>
      </w:r>
    </w:p>
    <w:p w:rsidR="00BA3455" w:rsidRDefault="00BA3455" w:rsidP="00BA3455">
      <w:pPr>
        <w:pStyle w:val="paragraph"/>
      </w:pPr>
      <w:r>
        <w:tab/>
      </w:r>
      <w:r>
        <w:tab/>
      </w:r>
      <w:proofErr w:type="gramStart"/>
      <w:r>
        <w:t>to</w:t>
      </w:r>
      <w:proofErr w:type="gramEnd"/>
      <w:r>
        <w:t xml:space="preserve"> provide for the needs of the child, including emotional and intellectual needs;</w:t>
      </w:r>
    </w:p>
    <w:p w:rsidR="00BA3455" w:rsidRDefault="00BA3455" w:rsidP="00BA3455">
      <w:pPr>
        <w:pStyle w:val="paragraph"/>
      </w:pPr>
      <w:r>
        <w:tab/>
        <w:t>(g)</w:t>
      </w:r>
      <w:r>
        <w:tab/>
      </w:r>
      <w:proofErr w:type="gramStart"/>
      <w:r>
        <w:t>the</w:t>
      </w:r>
      <w:proofErr w:type="gramEnd"/>
      <w:r>
        <w:t xml:space="preserve"> maturity, sex, lifestyle and background (including lifestyle, culture and traditions) of the child and of either of the child’s parents, and any other characteristics of the child that the court thinks are relevant;</w:t>
      </w:r>
    </w:p>
    <w:p w:rsidR="00BA3455" w:rsidRDefault="00BA3455" w:rsidP="00BA3455">
      <w:pPr>
        <w:pStyle w:val="paragraph"/>
      </w:pPr>
      <w:r>
        <w:tab/>
        <w:t>(h)</w:t>
      </w:r>
      <w:r>
        <w:tab/>
      </w:r>
      <w:proofErr w:type="gramStart"/>
      <w:r>
        <w:t>if</w:t>
      </w:r>
      <w:proofErr w:type="gramEnd"/>
      <w:r>
        <w:t xml:space="preserve"> the child is an Aboriginal child or a Torres Strait Islander child:</w:t>
      </w:r>
    </w:p>
    <w:p w:rsidR="00BA3455" w:rsidRDefault="00BA3455" w:rsidP="00BA3455">
      <w:pPr>
        <w:pStyle w:val="paragraphsub"/>
      </w:pPr>
      <w:r>
        <w:tab/>
        <w:t>(i)</w:t>
      </w:r>
      <w:r>
        <w:tab/>
      </w:r>
      <w:proofErr w:type="gramStart"/>
      <w:r>
        <w:t>the</w:t>
      </w:r>
      <w:proofErr w:type="gramEnd"/>
      <w:r>
        <w:t xml:space="preserve"> child’s right to enjoy his or her Aboriginal or Torres Strait Islander culture (including the right to enjoy that culture with other people who share that culture); and</w:t>
      </w:r>
    </w:p>
    <w:p w:rsidR="00BA3455" w:rsidRDefault="00BA3455" w:rsidP="00BA3455">
      <w:pPr>
        <w:pStyle w:val="paragraphsub"/>
      </w:pPr>
      <w:r>
        <w:tab/>
        <w:t>(ii)</w:t>
      </w:r>
      <w:r>
        <w:tab/>
      </w:r>
      <w:proofErr w:type="gramStart"/>
      <w:r>
        <w:t>the</w:t>
      </w:r>
      <w:proofErr w:type="gramEnd"/>
      <w:r>
        <w:t xml:space="preserve"> likely impact any proposed parenting order under this Part will have on that right;</w:t>
      </w:r>
    </w:p>
    <w:p w:rsidR="00BA3455" w:rsidRDefault="00BA3455" w:rsidP="00BA3455">
      <w:pPr>
        <w:pStyle w:val="paragraph"/>
      </w:pPr>
      <w:r>
        <w:tab/>
        <w:t>(i)</w:t>
      </w:r>
      <w:r>
        <w:tab/>
      </w:r>
      <w:proofErr w:type="gramStart"/>
      <w:r>
        <w:t>the</w:t>
      </w:r>
      <w:proofErr w:type="gramEnd"/>
      <w:r>
        <w:t xml:space="preserve"> attitude to the child, and to the responsibilities of parenthood, demonstrated by each of the child’s parents;</w:t>
      </w:r>
    </w:p>
    <w:p w:rsidR="00BA3455" w:rsidRDefault="00BA3455" w:rsidP="00BA3455">
      <w:pPr>
        <w:pStyle w:val="paragraph"/>
      </w:pPr>
      <w:r>
        <w:tab/>
        <w:t>(j)</w:t>
      </w:r>
      <w:r>
        <w:tab/>
      </w:r>
      <w:proofErr w:type="gramStart"/>
      <w:r>
        <w:t>any</w:t>
      </w:r>
      <w:proofErr w:type="gramEnd"/>
      <w:r>
        <w:t xml:space="preserve"> family violence involving the child or a member of the child’s family;</w:t>
      </w:r>
    </w:p>
    <w:p w:rsidR="00BA3455" w:rsidRDefault="00BA3455" w:rsidP="00BA3455">
      <w:pPr>
        <w:pStyle w:val="paragraph"/>
      </w:pPr>
      <w:r>
        <w:tab/>
        <w:t>(k)</w:t>
      </w:r>
      <w:r>
        <w:tab/>
      </w:r>
      <w:proofErr w:type="gramStart"/>
      <w:r>
        <w:t>if</w:t>
      </w:r>
      <w:proofErr w:type="gramEnd"/>
      <w:r>
        <w:t xml:space="preserve"> a family violence order applies, or has applied, to the child or a member of the child’s family—any relevant inferences that can be drawn from the order, taking into account the following:</w:t>
      </w:r>
    </w:p>
    <w:p w:rsidR="00BA3455" w:rsidRDefault="00BA3455" w:rsidP="00BA3455">
      <w:pPr>
        <w:pStyle w:val="paragraphsub"/>
      </w:pPr>
      <w:r>
        <w:tab/>
        <w:t>(i)</w:t>
      </w:r>
      <w:r>
        <w:tab/>
      </w:r>
      <w:proofErr w:type="gramStart"/>
      <w:r>
        <w:t>the</w:t>
      </w:r>
      <w:proofErr w:type="gramEnd"/>
      <w:r>
        <w:t xml:space="preserve"> nature of the order;</w:t>
      </w:r>
    </w:p>
    <w:p w:rsidR="00BA3455" w:rsidRDefault="00BA3455" w:rsidP="00BA3455">
      <w:pPr>
        <w:pStyle w:val="paragraphsub"/>
      </w:pPr>
      <w:r>
        <w:tab/>
        <w:t>(ii)</w:t>
      </w:r>
      <w:r>
        <w:tab/>
      </w:r>
      <w:proofErr w:type="gramStart"/>
      <w:r>
        <w:t>the</w:t>
      </w:r>
      <w:proofErr w:type="gramEnd"/>
      <w:r>
        <w:t xml:space="preserve"> circumstances in which the order was made;</w:t>
      </w:r>
    </w:p>
    <w:p w:rsidR="00BA3455" w:rsidRDefault="00BA3455" w:rsidP="00BA3455">
      <w:pPr>
        <w:pStyle w:val="paragraphsub"/>
      </w:pPr>
      <w:r>
        <w:tab/>
        <w:t>(iii)</w:t>
      </w:r>
      <w:r>
        <w:tab/>
      </w:r>
      <w:proofErr w:type="gramStart"/>
      <w:r>
        <w:t>any</w:t>
      </w:r>
      <w:proofErr w:type="gramEnd"/>
      <w:r>
        <w:t xml:space="preserve"> evidence admitted in proceedings for the order;</w:t>
      </w:r>
    </w:p>
    <w:p w:rsidR="00BA3455" w:rsidRDefault="00BA3455" w:rsidP="00BA3455">
      <w:pPr>
        <w:pStyle w:val="paragraphsub"/>
      </w:pPr>
      <w:r>
        <w:tab/>
        <w:t>(iv)</w:t>
      </w:r>
      <w:r>
        <w:tab/>
      </w:r>
      <w:proofErr w:type="gramStart"/>
      <w:r>
        <w:t>any</w:t>
      </w:r>
      <w:proofErr w:type="gramEnd"/>
      <w:r>
        <w:t xml:space="preserve"> findings made by the court in, or in proceedings for, the order;</w:t>
      </w:r>
    </w:p>
    <w:p w:rsidR="00BA3455" w:rsidRDefault="00BA3455" w:rsidP="00BA3455">
      <w:pPr>
        <w:pStyle w:val="paragraphsub"/>
        <w:rPr>
          <w:i/>
          <w:iCs/>
        </w:rPr>
      </w:pPr>
      <w:r>
        <w:tab/>
        <w:t>(v)</w:t>
      </w:r>
      <w:r>
        <w:tab/>
      </w:r>
      <w:proofErr w:type="gramStart"/>
      <w:r>
        <w:t>any</w:t>
      </w:r>
      <w:proofErr w:type="gramEnd"/>
      <w:r>
        <w:t xml:space="preserve"> other relevant matter;</w:t>
      </w:r>
    </w:p>
    <w:p w:rsidR="00BA3455" w:rsidRDefault="00BA3455" w:rsidP="00BA3455">
      <w:pPr>
        <w:pStyle w:val="paragraph"/>
      </w:pPr>
      <w:r>
        <w:tab/>
        <w:t>(l)</w:t>
      </w:r>
      <w:r>
        <w:tab/>
      </w:r>
      <w:proofErr w:type="gramStart"/>
      <w:r>
        <w:t>whether</w:t>
      </w:r>
      <w:proofErr w:type="gramEnd"/>
      <w:r>
        <w:t xml:space="preserve"> it would be preferable to make the order that would be least likely to lead to the institution of further proceedings in relation to the child;</w:t>
      </w:r>
    </w:p>
    <w:p w:rsidR="00BA3455" w:rsidRDefault="00BA3455" w:rsidP="00BA3455">
      <w:pPr>
        <w:pStyle w:val="paragraph"/>
      </w:pPr>
      <w:r>
        <w:tab/>
        <w:t>(m)</w:t>
      </w:r>
      <w:r>
        <w:tab/>
      </w:r>
      <w:proofErr w:type="gramStart"/>
      <w:r>
        <w:t>any</w:t>
      </w:r>
      <w:proofErr w:type="gramEnd"/>
      <w:r>
        <w:t xml:space="preserve"> other fact or circumstance that the court thinks is relevant.</w:t>
      </w:r>
    </w:p>
    <w:p w:rsidR="00BA3455" w:rsidRDefault="00BA3455" w:rsidP="00BA3455">
      <w:pPr>
        <w:pStyle w:val="SubsectionHead"/>
      </w:pPr>
      <w:r>
        <w:t>Consent orders</w:t>
      </w:r>
    </w:p>
    <w:p w:rsidR="00BA3455" w:rsidRDefault="00BA3455" w:rsidP="00BA3455">
      <w:pPr>
        <w:pStyle w:val="subsection"/>
      </w:pPr>
      <w:r>
        <w:tab/>
        <w:t>(5)</w:t>
      </w:r>
      <w:r>
        <w:tab/>
        <w:t>If the court is considering whether to make an order with the consent of all the parties to the proceedings, the court may, but is not required to, have regard to all or any of the matters set out in subsection (2) or (3).</w:t>
      </w:r>
    </w:p>
    <w:p w:rsidR="00BA3455" w:rsidRDefault="00BA3455" w:rsidP="00BA3455">
      <w:pPr>
        <w:pStyle w:val="SubsectionHead"/>
      </w:pPr>
      <w:r>
        <w:t>Right to enjoy Aboriginal or Torres Strait Islander culture</w:t>
      </w:r>
    </w:p>
    <w:p w:rsidR="00BA3455" w:rsidRDefault="00BA3455" w:rsidP="00BA3455">
      <w:pPr>
        <w:pStyle w:val="subsection"/>
      </w:pPr>
      <w:r>
        <w:tab/>
        <w:t>(6)</w:t>
      </w:r>
      <w:r>
        <w:tab/>
        <w:t>For the purposes of paragraph (3</w:t>
      </w:r>
      <w:proofErr w:type="gramStart"/>
      <w:r>
        <w:t>)(</w:t>
      </w:r>
      <w:proofErr w:type="gramEnd"/>
      <w:r>
        <w:t>h), an Aboriginal child’s or a Torres Strait Islander child’s right to enjoy his or her Aboriginal or Torres Strait Islander culture includes the right:</w:t>
      </w:r>
    </w:p>
    <w:p w:rsidR="00BA3455" w:rsidRDefault="00BA3455" w:rsidP="00BA3455">
      <w:pPr>
        <w:pStyle w:val="paragraph"/>
      </w:pPr>
      <w:r>
        <w:tab/>
        <w:t>(a)</w:t>
      </w:r>
      <w:r>
        <w:tab/>
      </w:r>
      <w:proofErr w:type="gramStart"/>
      <w:r>
        <w:t>to</w:t>
      </w:r>
      <w:proofErr w:type="gramEnd"/>
      <w:r>
        <w:t xml:space="preserve"> maintain a connection with that culture; and</w:t>
      </w:r>
    </w:p>
    <w:p w:rsidR="00BA3455" w:rsidRDefault="00BA3455" w:rsidP="00BA3455">
      <w:pPr>
        <w:pStyle w:val="paragraph"/>
      </w:pPr>
      <w:r>
        <w:tab/>
        <w:t>(b)</w:t>
      </w:r>
      <w:r>
        <w:tab/>
      </w:r>
      <w:proofErr w:type="gramStart"/>
      <w:r>
        <w:t>to</w:t>
      </w:r>
      <w:proofErr w:type="gramEnd"/>
      <w:r>
        <w:t xml:space="preserve"> have the support, opportunity and encouragement necessary:</w:t>
      </w:r>
    </w:p>
    <w:p w:rsidR="00BA3455" w:rsidRDefault="00BA3455" w:rsidP="00BA3455">
      <w:pPr>
        <w:pStyle w:val="paragraphsub"/>
      </w:pPr>
      <w:r>
        <w:tab/>
        <w:t>(i)</w:t>
      </w:r>
      <w:r>
        <w:tab/>
      </w:r>
      <w:proofErr w:type="gramStart"/>
      <w:r>
        <w:t>to</w:t>
      </w:r>
      <w:proofErr w:type="gramEnd"/>
      <w:r>
        <w:t xml:space="preserve"> explore the full extent of that culture, consistent with the child’s age and developmental level and the child’s views; and</w:t>
      </w:r>
    </w:p>
    <w:p w:rsidR="00BA3455" w:rsidRDefault="00BA3455" w:rsidP="00BA3455">
      <w:pPr>
        <w:pStyle w:val="paragraphsub"/>
      </w:pPr>
      <w:r>
        <w:tab/>
        <w:t>(ii)</w:t>
      </w:r>
      <w:r>
        <w:tab/>
      </w:r>
      <w:proofErr w:type="gramStart"/>
      <w:r>
        <w:t>to</w:t>
      </w:r>
      <w:proofErr w:type="gramEnd"/>
      <w:r>
        <w:t xml:space="preserve"> develop a positive appreciation of that culture.</w:t>
      </w:r>
    </w:p>
    <w:p w:rsidR="00BA3455" w:rsidRDefault="00BA3455" w:rsidP="002E3A08">
      <w:pPr>
        <w:pStyle w:val="BalloonText"/>
        <w:rPr>
          <w:sz w:val="24"/>
          <w:szCs w:val="24"/>
        </w:rPr>
      </w:pPr>
    </w:p>
    <w:p w:rsidR="00030FB6" w:rsidRDefault="00030FB6" w:rsidP="00030FB6">
      <w:pPr>
        <w:pStyle w:val="ActHead5"/>
      </w:pPr>
      <w:bookmarkStart w:id="2" w:name="_Toc369182200"/>
      <w:proofErr w:type="gramStart"/>
      <w:r>
        <w:rPr>
          <w:rStyle w:val="CharSectno"/>
        </w:rPr>
        <w:lastRenderedPageBreak/>
        <w:t>60CG</w:t>
      </w:r>
      <w:r>
        <w:t xml:space="preserve">  Court</w:t>
      </w:r>
      <w:proofErr w:type="gramEnd"/>
      <w:r>
        <w:t xml:space="preserve"> to consider risk of family violence</w:t>
      </w:r>
      <w:bookmarkEnd w:id="2"/>
    </w:p>
    <w:p w:rsidR="00030FB6" w:rsidRDefault="00030FB6" w:rsidP="00030FB6">
      <w:pPr>
        <w:pStyle w:val="subsection"/>
      </w:pPr>
      <w:r>
        <w:tab/>
        <w:t>(1)</w:t>
      </w:r>
      <w:r>
        <w:tab/>
        <w:t>In considering what order to make, the court must, to the extent that it is possible to do so consistently with the child’s best interests being the paramount consideration, ensure that the order:</w:t>
      </w:r>
    </w:p>
    <w:p w:rsidR="00030FB6" w:rsidRDefault="00030FB6" w:rsidP="00030FB6">
      <w:pPr>
        <w:pStyle w:val="paragraph"/>
      </w:pPr>
      <w:r>
        <w:tab/>
        <w:t>(</w:t>
      </w:r>
      <w:proofErr w:type="gramStart"/>
      <w:r>
        <w:t>a</w:t>
      </w:r>
      <w:proofErr w:type="gramEnd"/>
      <w:r>
        <w:t>)</w:t>
      </w:r>
      <w:r>
        <w:tab/>
        <w:t>is consistent with any family violence order; and</w:t>
      </w:r>
    </w:p>
    <w:p w:rsidR="00030FB6" w:rsidRDefault="00030FB6" w:rsidP="00030FB6">
      <w:pPr>
        <w:pStyle w:val="paragraph"/>
      </w:pPr>
      <w:r>
        <w:tab/>
        <w:t>(b)</w:t>
      </w:r>
      <w:r>
        <w:tab/>
      </w:r>
      <w:proofErr w:type="gramStart"/>
      <w:r>
        <w:t>does</w:t>
      </w:r>
      <w:proofErr w:type="gramEnd"/>
      <w:r>
        <w:t xml:space="preserve"> not expose a person to an unacceptable risk of family violence.</w:t>
      </w:r>
    </w:p>
    <w:p w:rsidR="00030FB6" w:rsidRDefault="00030FB6" w:rsidP="00030FB6">
      <w:pPr>
        <w:pStyle w:val="subsection"/>
      </w:pPr>
      <w:r>
        <w:tab/>
        <w:t>(2)</w:t>
      </w:r>
      <w:r>
        <w:tab/>
        <w:t>For the purposes of paragraph (1</w:t>
      </w:r>
      <w:proofErr w:type="gramStart"/>
      <w:r>
        <w:t>)(</w:t>
      </w:r>
      <w:proofErr w:type="gramEnd"/>
      <w:r>
        <w:t>b), the court may include in the order any safeguards that it considers necessary for the safety of those affected by the order.</w:t>
      </w:r>
    </w:p>
    <w:p w:rsidR="00030FB6" w:rsidRPr="00BA3455" w:rsidRDefault="00030FB6" w:rsidP="002E3A08">
      <w:pPr>
        <w:pStyle w:val="BalloonText"/>
        <w:rPr>
          <w:sz w:val="24"/>
          <w:szCs w:val="24"/>
        </w:rPr>
      </w:pPr>
      <w:bookmarkStart w:id="3" w:name="_GoBack"/>
      <w:bookmarkEnd w:id="3"/>
    </w:p>
    <w:sectPr w:rsidR="00030FB6" w:rsidRPr="00BA3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55"/>
    <w:rsid w:val="00030FB6"/>
    <w:rsid w:val="001465D0"/>
    <w:rsid w:val="002E3A08"/>
    <w:rsid w:val="004943A8"/>
    <w:rsid w:val="004C0446"/>
    <w:rsid w:val="005A4179"/>
    <w:rsid w:val="0067273C"/>
    <w:rsid w:val="00BA3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BA3455"/>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BA3455"/>
    <w:rPr>
      <w:rFonts w:ascii="Times New Roman" w:hAnsi="Times New Roman" w:cs="Times New Roman"/>
    </w:rPr>
  </w:style>
  <w:style w:type="paragraph" w:customStyle="1" w:styleId="subsection">
    <w:name w:val="subsection"/>
    <w:aliases w:val="ss"/>
    <w:basedOn w:val="Normal"/>
    <w:uiPriority w:val="99"/>
    <w:rsid w:val="00BA3455"/>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notetext">
    <w:name w:val="note(text)"/>
    <w:aliases w:val="n"/>
    <w:basedOn w:val="Normal"/>
    <w:uiPriority w:val="99"/>
    <w:rsid w:val="00BA3455"/>
    <w:pPr>
      <w:spacing w:before="122" w:after="0" w:line="198" w:lineRule="exact"/>
      <w:ind w:left="1985" w:hanging="851"/>
    </w:pPr>
    <w:rPr>
      <w:rFonts w:eastAsiaTheme="minorEastAsia" w:cs="Times New Roman"/>
      <w:sz w:val="18"/>
      <w:szCs w:val="18"/>
      <w:lang w:eastAsia="en-AU"/>
    </w:rPr>
  </w:style>
  <w:style w:type="paragraph" w:customStyle="1" w:styleId="paragraph">
    <w:name w:val="paragraph"/>
    <w:aliases w:val="a"/>
    <w:basedOn w:val="Normal"/>
    <w:uiPriority w:val="99"/>
    <w:rsid w:val="00BA3455"/>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paragraphsub">
    <w:name w:val="paragraph(sub)"/>
    <w:aliases w:val="aa"/>
    <w:basedOn w:val="Normal"/>
    <w:uiPriority w:val="99"/>
    <w:rsid w:val="00BA3455"/>
    <w:pPr>
      <w:tabs>
        <w:tab w:val="right" w:pos="1985"/>
      </w:tabs>
      <w:spacing w:before="40" w:after="0" w:line="240" w:lineRule="auto"/>
      <w:ind w:left="2098" w:hanging="2098"/>
    </w:pPr>
    <w:rPr>
      <w:rFonts w:eastAsiaTheme="minorEastAsia" w:cs="Times New Roman"/>
      <w:sz w:val="22"/>
      <w:szCs w:val="22"/>
      <w:lang w:eastAsia="en-AU"/>
    </w:rPr>
  </w:style>
  <w:style w:type="paragraph" w:customStyle="1" w:styleId="SubsectionHead">
    <w:name w:val="SubsectionHead"/>
    <w:aliases w:val="ssh"/>
    <w:basedOn w:val="Normal"/>
    <w:next w:val="subsection"/>
    <w:uiPriority w:val="99"/>
    <w:rsid w:val="00BA3455"/>
    <w:pPr>
      <w:keepNext/>
      <w:keepLines/>
      <w:spacing w:before="240" w:after="0" w:line="240" w:lineRule="auto"/>
      <w:ind w:left="1134"/>
    </w:pPr>
    <w:rPr>
      <w:rFonts w:eastAsiaTheme="minorEastAsia" w:cs="Times New Roman"/>
      <w:i/>
      <w:iCs/>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BA3455"/>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BA3455"/>
    <w:rPr>
      <w:rFonts w:ascii="Times New Roman" w:hAnsi="Times New Roman" w:cs="Times New Roman"/>
    </w:rPr>
  </w:style>
  <w:style w:type="paragraph" w:customStyle="1" w:styleId="subsection">
    <w:name w:val="subsection"/>
    <w:aliases w:val="ss"/>
    <w:basedOn w:val="Normal"/>
    <w:uiPriority w:val="99"/>
    <w:rsid w:val="00BA3455"/>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notetext">
    <w:name w:val="note(text)"/>
    <w:aliases w:val="n"/>
    <w:basedOn w:val="Normal"/>
    <w:uiPriority w:val="99"/>
    <w:rsid w:val="00BA3455"/>
    <w:pPr>
      <w:spacing w:before="122" w:after="0" w:line="198" w:lineRule="exact"/>
      <w:ind w:left="1985" w:hanging="851"/>
    </w:pPr>
    <w:rPr>
      <w:rFonts w:eastAsiaTheme="minorEastAsia" w:cs="Times New Roman"/>
      <w:sz w:val="18"/>
      <w:szCs w:val="18"/>
      <w:lang w:eastAsia="en-AU"/>
    </w:rPr>
  </w:style>
  <w:style w:type="paragraph" w:customStyle="1" w:styleId="paragraph">
    <w:name w:val="paragraph"/>
    <w:aliases w:val="a"/>
    <w:basedOn w:val="Normal"/>
    <w:uiPriority w:val="99"/>
    <w:rsid w:val="00BA3455"/>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paragraphsub">
    <w:name w:val="paragraph(sub)"/>
    <w:aliases w:val="aa"/>
    <w:basedOn w:val="Normal"/>
    <w:uiPriority w:val="99"/>
    <w:rsid w:val="00BA3455"/>
    <w:pPr>
      <w:tabs>
        <w:tab w:val="right" w:pos="1985"/>
      </w:tabs>
      <w:spacing w:before="40" w:after="0" w:line="240" w:lineRule="auto"/>
      <w:ind w:left="2098" w:hanging="2098"/>
    </w:pPr>
    <w:rPr>
      <w:rFonts w:eastAsiaTheme="minorEastAsia" w:cs="Times New Roman"/>
      <w:sz w:val="22"/>
      <w:szCs w:val="22"/>
      <w:lang w:eastAsia="en-AU"/>
    </w:rPr>
  </w:style>
  <w:style w:type="paragraph" w:customStyle="1" w:styleId="SubsectionHead">
    <w:name w:val="SubsectionHead"/>
    <w:aliases w:val="ssh"/>
    <w:basedOn w:val="Normal"/>
    <w:next w:val="subsection"/>
    <w:uiPriority w:val="99"/>
    <w:rsid w:val="00BA3455"/>
    <w:pPr>
      <w:keepNext/>
      <w:keepLines/>
      <w:spacing w:before="240" w:after="0" w:line="240" w:lineRule="auto"/>
      <w:ind w:left="1134"/>
    </w:pPr>
    <w:rPr>
      <w:rFonts w:eastAsiaTheme="minorEastAsia" w:cs="Times New Roman"/>
      <w:i/>
      <w:iCs/>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2</cp:revision>
  <dcterms:created xsi:type="dcterms:W3CDTF">2014-03-27T01:31:00Z</dcterms:created>
  <dcterms:modified xsi:type="dcterms:W3CDTF">2014-03-27T01:34:00Z</dcterms:modified>
</cp:coreProperties>
</file>