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57" w:rsidRPr="00055F57" w:rsidRDefault="00055F57" w:rsidP="00055F57">
      <w:pPr>
        <w:shd w:val="clear" w:color="auto" w:fill="FFFFFF"/>
        <w:spacing w:after="0" w:line="240" w:lineRule="auto"/>
        <w:outlineLvl w:val="0"/>
        <w:rPr>
          <w:rFonts w:ascii="Verdana" w:eastAsia="Times New Roman" w:hAnsi="Verdana" w:cs="Times New Roman"/>
          <w:b/>
          <w:bCs/>
          <w:color w:val="202B53"/>
          <w:kern w:val="36"/>
          <w:szCs w:val="24"/>
          <w:lang w:eastAsia="en-AU"/>
        </w:rPr>
      </w:pPr>
      <w:r w:rsidRPr="00055F57">
        <w:rPr>
          <w:rFonts w:ascii="Verdana" w:eastAsia="Times New Roman" w:hAnsi="Verdana" w:cs="Times New Roman"/>
          <w:b/>
          <w:bCs/>
          <w:color w:val="202B53"/>
          <w:kern w:val="36"/>
          <w:szCs w:val="24"/>
          <w:lang w:eastAsia="en-AU"/>
        </w:rPr>
        <w:t>Family Law Courts overview</w:t>
      </w:r>
    </w:p>
    <w:p w:rsidR="00055F57" w:rsidRPr="00055F57" w:rsidRDefault="00055F57" w:rsidP="00055F57">
      <w:pPr>
        <w:shd w:val="clear" w:color="auto" w:fill="FFFFFF"/>
        <w:spacing w:after="0" w:line="240" w:lineRule="auto"/>
        <w:ind w:right="375"/>
        <w:rPr>
          <w:rFonts w:ascii="Verdana" w:eastAsia="Times New Roman" w:hAnsi="Verdana" w:cs="Times New Roman"/>
          <w:color w:val="000000"/>
          <w:sz w:val="20"/>
          <w:szCs w:val="20"/>
          <w:lang w:eastAsia="en-AU"/>
        </w:rPr>
      </w:pPr>
      <w:r w:rsidRPr="00055F57">
        <w:rPr>
          <w:rFonts w:ascii="Verdana" w:eastAsia="Times New Roman" w:hAnsi="Verdana" w:cs="Times New Roman"/>
          <w:color w:val="000000"/>
          <w:szCs w:val="24"/>
          <w:lang w:eastAsia="en-AU"/>
        </w:rPr>
        <w:t>The Family Law Courts comprise the Family Court of Australia and the Federal Circuit Court of Australia. Both courts have jurisdiction in family law matters in all states and territories except Western Australia, which has its own Family Court</w:t>
      </w:r>
      <w:r w:rsidRPr="00055F57">
        <w:rPr>
          <w:rFonts w:ascii="Verdana" w:eastAsia="Times New Roman" w:hAnsi="Verdana" w:cs="Times New Roman"/>
          <w:color w:val="000000"/>
          <w:szCs w:val="24"/>
          <w:lang w:eastAsia="en-AU"/>
        </w:rPr>
        <w:br/>
      </w:r>
      <w:r w:rsidRPr="00055F57">
        <w:rPr>
          <w:rFonts w:ascii="Verdana" w:eastAsia="Times New Roman" w:hAnsi="Verdana" w:cs="Times New Roman"/>
          <w:color w:val="000000"/>
          <w:szCs w:val="24"/>
          <w:lang w:eastAsia="en-AU"/>
        </w:rPr>
        <w:br/>
      </w:r>
      <w:proofErr w:type="gramStart"/>
      <w:r w:rsidRPr="00055F57">
        <w:rPr>
          <w:rFonts w:ascii="Verdana" w:eastAsia="Times New Roman" w:hAnsi="Verdana" w:cs="Times New Roman"/>
          <w:color w:val="000000"/>
          <w:szCs w:val="24"/>
          <w:lang w:eastAsia="en-AU"/>
        </w:rPr>
        <w:t>The</w:t>
      </w:r>
      <w:proofErr w:type="gramEnd"/>
      <w:r w:rsidRPr="00055F57">
        <w:rPr>
          <w:rFonts w:ascii="Verdana" w:eastAsia="Times New Roman" w:hAnsi="Verdana" w:cs="Times New Roman"/>
          <w:color w:val="000000"/>
          <w:szCs w:val="24"/>
          <w:lang w:eastAsia="en-AU"/>
        </w:rPr>
        <w:t xml:space="preserve"> courts are independent, but cooperate to provide streamlined access to the federal family law system. Clients benefit from:</w:t>
      </w:r>
    </w:p>
    <w:p w:rsidR="00055F57" w:rsidRPr="00055F57" w:rsidRDefault="00055F57" w:rsidP="00055F57">
      <w:pPr>
        <w:numPr>
          <w:ilvl w:val="0"/>
          <w:numId w:val="1"/>
        </w:numPr>
        <w:shd w:val="clear" w:color="auto" w:fill="FFFFFF"/>
        <w:spacing w:before="100" w:beforeAutospacing="1" w:after="100" w:afterAutospacing="1" w:line="240" w:lineRule="atLeast"/>
        <w:ind w:left="0"/>
        <w:rPr>
          <w:rFonts w:ascii="Verdana" w:eastAsia="Times New Roman" w:hAnsi="Verdana" w:cs="Times New Roman"/>
          <w:color w:val="000000"/>
          <w:sz w:val="20"/>
          <w:szCs w:val="20"/>
          <w:lang w:eastAsia="en-AU"/>
        </w:rPr>
      </w:pPr>
      <w:r w:rsidRPr="00055F57">
        <w:rPr>
          <w:rFonts w:ascii="Verdana" w:eastAsia="Times New Roman" w:hAnsi="Verdana" w:cs="Times New Roman"/>
          <w:color w:val="000000"/>
          <w:szCs w:val="24"/>
          <w:lang w:eastAsia="en-AU"/>
        </w:rPr>
        <w:t>a simplified path through the family law system</w:t>
      </w:r>
    </w:p>
    <w:p w:rsidR="00055F57" w:rsidRPr="00055F57" w:rsidRDefault="00055F57" w:rsidP="00055F57">
      <w:pPr>
        <w:numPr>
          <w:ilvl w:val="0"/>
          <w:numId w:val="1"/>
        </w:numPr>
        <w:shd w:val="clear" w:color="auto" w:fill="FFFFFF"/>
        <w:spacing w:before="100" w:beforeAutospacing="1" w:after="100" w:afterAutospacing="1" w:line="240" w:lineRule="atLeast"/>
        <w:ind w:left="0"/>
        <w:rPr>
          <w:rFonts w:ascii="Verdana" w:eastAsia="Times New Roman" w:hAnsi="Verdana" w:cs="Times New Roman"/>
          <w:color w:val="000000"/>
          <w:sz w:val="20"/>
          <w:szCs w:val="20"/>
          <w:lang w:eastAsia="en-AU"/>
        </w:rPr>
      </w:pPr>
      <w:r w:rsidRPr="00055F57">
        <w:rPr>
          <w:rFonts w:ascii="Verdana" w:eastAsia="Times New Roman" w:hAnsi="Verdana" w:cs="Times New Roman"/>
          <w:color w:val="000000"/>
          <w:szCs w:val="24"/>
          <w:lang w:eastAsia="en-AU"/>
        </w:rPr>
        <w:t>access to services for the resolution of family disputes</w:t>
      </w:r>
    </w:p>
    <w:p w:rsidR="00055F57" w:rsidRPr="00055F57" w:rsidRDefault="00055F57" w:rsidP="00055F57">
      <w:pPr>
        <w:numPr>
          <w:ilvl w:val="0"/>
          <w:numId w:val="1"/>
        </w:numPr>
        <w:shd w:val="clear" w:color="auto" w:fill="FFFFFF"/>
        <w:spacing w:before="100" w:beforeAutospacing="1" w:after="100" w:afterAutospacing="1" w:line="240" w:lineRule="atLeast"/>
        <w:ind w:left="0"/>
        <w:rPr>
          <w:rFonts w:ascii="Verdana" w:eastAsia="Times New Roman" w:hAnsi="Verdana" w:cs="Times New Roman"/>
          <w:color w:val="000000"/>
          <w:sz w:val="20"/>
          <w:szCs w:val="20"/>
          <w:lang w:eastAsia="en-AU"/>
        </w:rPr>
      </w:pPr>
      <w:r w:rsidRPr="00055F57">
        <w:rPr>
          <w:rFonts w:ascii="Verdana" w:eastAsia="Times New Roman" w:hAnsi="Verdana" w:cs="Times New Roman"/>
          <w:color w:val="000000"/>
          <w:szCs w:val="24"/>
          <w:lang w:eastAsia="en-AU"/>
        </w:rPr>
        <w:t>a single point of filing regardless of which court handles the application</w:t>
      </w:r>
    </w:p>
    <w:p w:rsidR="00055F57" w:rsidRPr="00055F57" w:rsidRDefault="00055F57" w:rsidP="00055F57">
      <w:pPr>
        <w:numPr>
          <w:ilvl w:val="0"/>
          <w:numId w:val="1"/>
        </w:numPr>
        <w:shd w:val="clear" w:color="auto" w:fill="FFFFFF"/>
        <w:spacing w:before="100" w:beforeAutospacing="1" w:after="100" w:afterAutospacing="1" w:line="240" w:lineRule="atLeast"/>
        <w:ind w:left="0"/>
        <w:rPr>
          <w:rFonts w:ascii="Verdana" w:eastAsia="Times New Roman" w:hAnsi="Verdana" w:cs="Times New Roman"/>
          <w:color w:val="000000"/>
          <w:sz w:val="20"/>
          <w:szCs w:val="20"/>
          <w:lang w:eastAsia="en-AU"/>
        </w:rPr>
      </w:pPr>
      <w:r w:rsidRPr="00055F57">
        <w:rPr>
          <w:rFonts w:ascii="Verdana" w:eastAsia="Times New Roman" w:hAnsi="Verdana" w:cs="Times New Roman"/>
          <w:color w:val="000000"/>
          <w:szCs w:val="24"/>
          <w:lang w:eastAsia="en-AU"/>
        </w:rPr>
        <w:t>a national enquiry centre and website that provide information about both courts</w:t>
      </w:r>
    </w:p>
    <w:p w:rsidR="00055F57" w:rsidRPr="00055F57" w:rsidRDefault="00055F57" w:rsidP="00055F57">
      <w:pPr>
        <w:numPr>
          <w:ilvl w:val="0"/>
          <w:numId w:val="1"/>
        </w:numPr>
        <w:shd w:val="clear" w:color="auto" w:fill="FFFFFF"/>
        <w:spacing w:before="100" w:beforeAutospacing="1" w:after="100" w:afterAutospacing="1" w:line="240" w:lineRule="atLeast"/>
        <w:ind w:left="0"/>
        <w:rPr>
          <w:rFonts w:ascii="Verdana" w:eastAsia="Times New Roman" w:hAnsi="Verdana" w:cs="Times New Roman"/>
          <w:color w:val="000000"/>
          <w:sz w:val="20"/>
          <w:szCs w:val="20"/>
          <w:lang w:eastAsia="en-AU"/>
        </w:rPr>
      </w:pPr>
      <w:r w:rsidRPr="00055F57">
        <w:rPr>
          <w:rFonts w:ascii="Verdana" w:eastAsia="Times New Roman" w:hAnsi="Verdana" w:cs="Times New Roman"/>
          <w:color w:val="000000"/>
          <w:szCs w:val="24"/>
          <w:lang w:eastAsia="en-AU"/>
        </w:rPr>
        <w:t>high quality services to litigants and the community, and</w:t>
      </w:r>
    </w:p>
    <w:p w:rsidR="00055F57" w:rsidRPr="00055F57" w:rsidRDefault="00055F57" w:rsidP="00055F57">
      <w:pPr>
        <w:numPr>
          <w:ilvl w:val="0"/>
          <w:numId w:val="1"/>
        </w:numPr>
        <w:shd w:val="clear" w:color="auto" w:fill="FFFFFF"/>
        <w:spacing w:before="100" w:beforeAutospacing="1" w:after="100" w:afterAutospacing="1" w:line="240" w:lineRule="atLeast"/>
        <w:ind w:left="0"/>
        <w:rPr>
          <w:rFonts w:ascii="Verdana" w:eastAsia="Times New Roman" w:hAnsi="Verdana" w:cs="Times New Roman"/>
          <w:color w:val="000000"/>
          <w:sz w:val="20"/>
          <w:szCs w:val="20"/>
          <w:lang w:eastAsia="en-AU"/>
        </w:rPr>
      </w:pPr>
      <w:proofErr w:type="gramStart"/>
      <w:r w:rsidRPr="00055F57">
        <w:rPr>
          <w:rFonts w:ascii="Verdana" w:eastAsia="Times New Roman" w:hAnsi="Verdana" w:cs="Times New Roman"/>
          <w:color w:val="000000"/>
          <w:szCs w:val="24"/>
          <w:lang w:eastAsia="en-AU"/>
        </w:rPr>
        <w:t>easy</w:t>
      </w:r>
      <w:proofErr w:type="gramEnd"/>
      <w:r w:rsidRPr="00055F57">
        <w:rPr>
          <w:rFonts w:ascii="Verdana" w:eastAsia="Times New Roman" w:hAnsi="Verdana" w:cs="Times New Roman"/>
          <w:color w:val="000000"/>
          <w:szCs w:val="24"/>
          <w:lang w:eastAsia="en-AU"/>
        </w:rPr>
        <w:t xml:space="preserve"> transfer of cases between courts when ordered by a court.</w:t>
      </w:r>
    </w:p>
    <w:p w:rsidR="00055F57" w:rsidRPr="00055F57" w:rsidRDefault="00055F57" w:rsidP="00055F57">
      <w:pPr>
        <w:shd w:val="clear" w:color="auto" w:fill="FFFFFF"/>
        <w:spacing w:after="0" w:line="240" w:lineRule="auto"/>
        <w:ind w:right="375"/>
        <w:rPr>
          <w:rFonts w:ascii="Verdana" w:eastAsia="Times New Roman" w:hAnsi="Verdana" w:cs="Times New Roman"/>
          <w:color w:val="000000"/>
          <w:sz w:val="20"/>
          <w:szCs w:val="20"/>
          <w:lang w:eastAsia="en-AU"/>
        </w:rPr>
      </w:pPr>
      <w:r w:rsidRPr="00055F57">
        <w:rPr>
          <w:rFonts w:ascii="Verdana" w:eastAsia="Times New Roman" w:hAnsi="Verdana" w:cs="Times New Roman"/>
          <w:color w:val="000000"/>
          <w:szCs w:val="24"/>
          <w:lang w:eastAsia="en-AU"/>
        </w:rPr>
        <w:br/>
        <w:t>The Family Court of Australia is a superior court of record and deals with more complex matters. These may include, for example</w:t>
      </w:r>
    </w:p>
    <w:p w:rsidR="00055F57" w:rsidRPr="00055F57" w:rsidRDefault="00055F57" w:rsidP="00055F57">
      <w:pPr>
        <w:numPr>
          <w:ilvl w:val="0"/>
          <w:numId w:val="2"/>
        </w:numPr>
        <w:shd w:val="clear" w:color="auto" w:fill="FFFFFF"/>
        <w:spacing w:before="100" w:beforeAutospacing="1" w:line="240" w:lineRule="atLeast"/>
        <w:ind w:left="0"/>
        <w:rPr>
          <w:rFonts w:ascii="Verdana" w:eastAsia="Times New Roman" w:hAnsi="Verdana" w:cs="Times New Roman"/>
          <w:color w:val="000000"/>
          <w:sz w:val="20"/>
          <w:szCs w:val="20"/>
          <w:lang w:eastAsia="en-AU"/>
        </w:rPr>
      </w:pPr>
      <w:r w:rsidRPr="00055F57">
        <w:rPr>
          <w:rFonts w:ascii="Verdana" w:eastAsia="Times New Roman" w:hAnsi="Verdana" w:cs="Times New Roman"/>
          <w:color w:val="000000"/>
          <w:szCs w:val="24"/>
          <w:lang w:eastAsia="en-AU"/>
        </w:rPr>
        <w:t>Parenting cases including those that involve a child welfare agency and/or allegations of sexual abuse or serious physical abuse of a child (Magellan cases), family violence and/or mental health issues with other complexities, multiple parties, complex cases where orders sought having the effect of preventing a parent from communicating with or spending time with a child, multiple expert witnesses, complex questions of law and/or special jurisdictional issues, international child abduction under the Hague Convention, special medical procedures and international relocation.</w:t>
      </w:r>
    </w:p>
    <w:p w:rsidR="00055F57" w:rsidRPr="00055F57" w:rsidRDefault="00055F57" w:rsidP="00055F57">
      <w:pPr>
        <w:numPr>
          <w:ilvl w:val="0"/>
          <w:numId w:val="2"/>
        </w:numPr>
        <w:shd w:val="clear" w:color="auto" w:fill="FFFFFF"/>
        <w:spacing w:before="100" w:beforeAutospacing="1" w:after="100" w:afterAutospacing="1" w:line="240" w:lineRule="atLeast"/>
        <w:ind w:left="0"/>
        <w:rPr>
          <w:rFonts w:ascii="Verdana" w:eastAsia="Times New Roman" w:hAnsi="Verdana" w:cs="Times New Roman"/>
          <w:color w:val="000000"/>
          <w:sz w:val="20"/>
          <w:szCs w:val="20"/>
          <w:lang w:eastAsia="en-AU"/>
        </w:rPr>
      </w:pPr>
      <w:r w:rsidRPr="00055F57">
        <w:rPr>
          <w:rFonts w:ascii="Verdana" w:eastAsia="Times New Roman" w:hAnsi="Verdana" w:cs="Times New Roman"/>
          <w:color w:val="000000"/>
          <w:szCs w:val="24"/>
          <w:lang w:eastAsia="en-AU"/>
        </w:rPr>
        <w:t>Financial cases that involve multiple parties, valuation of complex interests in trust or corporate structures, including minority interests, multiple expert witnesses, complex questions of law and/or jurisdictional issues (including accrued jurisdiction) or complex issues concerning superannuation (such as complex valuations of defined benefit superannuation schemes).</w:t>
      </w:r>
    </w:p>
    <w:p w:rsidR="0067273C" w:rsidRPr="00055F57" w:rsidRDefault="00055F57" w:rsidP="00055F57">
      <w:pPr>
        <w:shd w:val="clear" w:color="auto" w:fill="FFFFFF"/>
        <w:spacing w:after="0" w:line="240" w:lineRule="auto"/>
        <w:ind w:right="375"/>
        <w:rPr>
          <w:szCs w:val="24"/>
        </w:rPr>
      </w:pPr>
      <w:r w:rsidRPr="00055F57">
        <w:rPr>
          <w:rFonts w:ascii="Verdana" w:eastAsia="Times New Roman" w:hAnsi="Verdana" w:cs="Times New Roman"/>
          <w:color w:val="000000"/>
          <w:szCs w:val="24"/>
          <w:lang w:eastAsia="en-AU"/>
        </w:rPr>
        <w:t>The Federal Circuit Court deals with less complex matters that are likely to be decided quickly. It was established in 2000 as a federal court that provides a simple and accessible alternative to litigation in the superior federal courts. </w:t>
      </w:r>
      <w:r w:rsidRPr="00055F57">
        <w:rPr>
          <w:rFonts w:ascii="Verdana" w:eastAsia="Times New Roman" w:hAnsi="Verdana" w:cs="Times New Roman"/>
          <w:color w:val="000000"/>
          <w:szCs w:val="24"/>
          <w:lang w:eastAsia="en-AU"/>
        </w:rPr>
        <w:br/>
      </w:r>
      <w:r w:rsidRPr="00055F57">
        <w:rPr>
          <w:rFonts w:ascii="Verdana" w:eastAsia="Times New Roman" w:hAnsi="Verdana" w:cs="Times New Roman"/>
          <w:color w:val="000000"/>
          <w:szCs w:val="24"/>
          <w:lang w:eastAsia="en-AU"/>
        </w:rPr>
        <w:br/>
        <w:t>The Combined Registry Program commenced in July 2004 and aims to provide simplified access to the Family Law Courts (the Family Court and Federal Circuit Court). It comprises a number of major projects that have been completed or are nearing completion.</w:t>
      </w:r>
      <w:bookmarkStart w:id="0" w:name="_GoBack"/>
      <w:bookmarkEnd w:id="0"/>
      <w:r w:rsidRPr="00055F57">
        <w:rPr>
          <w:szCs w:val="24"/>
        </w:rPr>
        <w:t xml:space="preserve"> </w:t>
      </w:r>
    </w:p>
    <w:p w:rsidR="002E3A08" w:rsidRPr="00055F57" w:rsidRDefault="002E3A08" w:rsidP="002E3A08">
      <w:pPr>
        <w:pStyle w:val="BalloonText"/>
        <w:rPr>
          <w:sz w:val="24"/>
          <w:szCs w:val="24"/>
        </w:rPr>
      </w:pPr>
    </w:p>
    <w:sectPr w:rsidR="002E3A08" w:rsidRPr="00055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725FA"/>
    <w:multiLevelType w:val="multilevel"/>
    <w:tmpl w:val="4048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F203F"/>
    <w:multiLevelType w:val="multilevel"/>
    <w:tmpl w:val="A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57"/>
    <w:rsid w:val="00055F57"/>
    <w:rsid w:val="001465D0"/>
    <w:rsid w:val="002E3A08"/>
    <w:rsid w:val="004943A8"/>
    <w:rsid w:val="004C0446"/>
    <w:rsid w:val="005A4179"/>
    <w:rsid w:val="00672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9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2014-03-27T22:40:00Z</dcterms:created>
  <dcterms:modified xsi:type="dcterms:W3CDTF">2014-03-27T22:42:00Z</dcterms:modified>
</cp:coreProperties>
</file>