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BF" w:rsidRDefault="00EC2FBF" w:rsidP="008224C1">
      <w:pPr>
        <w:spacing w:line="276" w:lineRule="auto"/>
      </w:pPr>
      <w:proofErr w:type="gramStart"/>
      <w:r>
        <w:t>75  Matters</w:t>
      </w:r>
      <w:proofErr w:type="gramEnd"/>
      <w:r>
        <w:t xml:space="preserve"> to be taken into consideration in relation to spousal maintenance </w:t>
      </w:r>
    </w:p>
    <w:p w:rsidR="00EC2FBF" w:rsidRDefault="00EC2FBF" w:rsidP="008224C1">
      <w:pPr>
        <w:spacing w:line="276" w:lineRule="auto"/>
      </w:pPr>
      <w:r>
        <w:tab/>
        <w:t>(1)</w:t>
      </w:r>
      <w:r>
        <w:tab/>
        <w:t>In exercising jurisdiction under section 74, the court shall take into account only the matters referred to in subsection (2).</w:t>
      </w:r>
    </w:p>
    <w:p w:rsidR="00EC2FBF" w:rsidRDefault="00EC2FBF" w:rsidP="008224C1">
      <w:pPr>
        <w:spacing w:line="276" w:lineRule="auto"/>
      </w:pPr>
      <w:r>
        <w:tab/>
        <w:t>(2)</w:t>
      </w:r>
      <w:r>
        <w:tab/>
        <w:t>The matters to be so taken into account are:</w:t>
      </w:r>
    </w:p>
    <w:p w:rsidR="00EC2FBF" w:rsidRDefault="00EC2FBF" w:rsidP="008224C1">
      <w:pPr>
        <w:spacing w:line="276" w:lineRule="auto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age and state of health of each of the parties; and</w:t>
      </w:r>
    </w:p>
    <w:p w:rsidR="00EC2FBF" w:rsidRDefault="00EC2FBF" w:rsidP="008224C1">
      <w:pPr>
        <w:spacing w:line="276" w:lineRule="auto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income, property and financial resources of each of the parties and the physical and mental capacity of each of them for appropriate gainful employment; and</w:t>
      </w:r>
    </w:p>
    <w:p w:rsidR="00EC2FBF" w:rsidRDefault="00EC2FBF" w:rsidP="008224C1">
      <w:pPr>
        <w:spacing w:line="276" w:lineRule="auto"/>
      </w:pPr>
      <w:r>
        <w:tab/>
        <w:t>(c)</w:t>
      </w:r>
      <w:r>
        <w:tab/>
      </w:r>
      <w:proofErr w:type="gramStart"/>
      <w:r>
        <w:t>whether</w:t>
      </w:r>
      <w:proofErr w:type="gramEnd"/>
      <w:r>
        <w:t xml:space="preserve"> either party has the care or control of a child of the marriage who has not attained the age of 18 years; and</w:t>
      </w:r>
    </w:p>
    <w:p w:rsidR="00EC2FBF" w:rsidRDefault="00EC2FBF" w:rsidP="008224C1">
      <w:pPr>
        <w:spacing w:line="276" w:lineRule="auto"/>
      </w:pPr>
      <w:r>
        <w:tab/>
        <w:t>(d)</w:t>
      </w:r>
      <w:r>
        <w:tab/>
      </w:r>
      <w:proofErr w:type="gramStart"/>
      <w:r>
        <w:t>commitments</w:t>
      </w:r>
      <w:proofErr w:type="gramEnd"/>
      <w:r>
        <w:t xml:space="preserve"> of each of the parties that are necessary to enable the party to support:</w:t>
      </w:r>
    </w:p>
    <w:p w:rsidR="00EC2FBF" w:rsidRDefault="00EC2FBF" w:rsidP="008224C1">
      <w:pPr>
        <w:spacing w:line="276" w:lineRule="auto"/>
      </w:pPr>
      <w:r>
        <w:tab/>
        <w:t>(i)</w:t>
      </w:r>
      <w:r>
        <w:tab/>
      </w:r>
      <w:proofErr w:type="gramStart"/>
      <w:r>
        <w:t>himself</w:t>
      </w:r>
      <w:proofErr w:type="gramEnd"/>
      <w:r>
        <w:t xml:space="preserve"> or herself; and</w:t>
      </w:r>
    </w:p>
    <w:p w:rsidR="00EC2FBF" w:rsidRDefault="00EC2FBF" w:rsidP="008224C1">
      <w:pPr>
        <w:spacing w:line="276" w:lineRule="auto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child or another person that the party has a duty to maintain; and</w:t>
      </w:r>
    </w:p>
    <w:p w:rsidR="00EC2FBF" w:rsidRDefault="00EC2FBF" w:rsidP="008224C1">
      <w:pPr>
        <w:spacing w:line="276" w:lineRule="auto"/>
      </w:pPr>
      <w:r>
        <w:tab/>
        <w:t>(e)</w:t>
      </w:r>
      <w:r>
        <w:tab/>
      </w:r>
      <w:proofErr w:type="gramStart"/>
      <w:r>
        <w:t>the</w:t>
      </w:r>
      <w:proofErr w:type="gramEnd"/>
      <w:r>
        <w:t xml:space="preserve"> responsibilities of either party to support any other person; and</w:t>
      </w:r>
    </w:p>
    <w:p w:rsidR="00EC2FBF" w:rsidRDefault="00EC2FBF" w:rsidP="008224C1">
      <w:pPr>
        <w:spacing w:line="276" w:lineRule="auto"/>
      </w:pPr>
      <w:r>
        <w:tab/>
        <w:t>(f)</w:t>
      </w:r>
      <w:r>
        <w:tab/>
      </w:r>
      <w:proofErr w:type="gramStart"/>
      <w:r>
        <w:t>subject</w:t>
      </w:r>
      <w:proofErr w:type="gramEnd"/>
      <w:r>
        <w:t xml:space="preserve"> to subsection (3), the eligibility of either party for a pension, allowance or benefit under:</w:t>
      </w:r>
    </w:p>
    <w:p w:rsidR="00EC2FBF" w:rsidRDefault="00EC2FBF" w:rsidP="008224C1">
      <w:pPr>
        <w:spacing w:line="276" w:lineRule="auto"/>
      </w:pPr>
      <w:r>
        <w:tab/>
        <w:t>(i)</w:t>
      </w:r>
      <w:r>
        <w:tab/>
      </w:r>
      <w:proofErr w:type="gramStart"/>
      <w:r>
        <w:t>any</w:t>
      </w:r>
      <w:proofErr w:type="gramEnd"/>
      <w:r>
        <w:t xml:space="preserve"> law of the Commonwealth, of a State or Territory or of another country; or</w:t>
      </w:r>
    </w:p>
    <w:p w:rsidR="00EC2FBF" w:rsidRDefault="00EC2FBF" w:rsidP="008224C1">
      <w:pPr>
        <w:spacing w:line="276" w:lineRule="auto"/>
      </w:pPr>
      <w:r>
        <w:tab/>
        <w:t>(ii)</w:t>
      </w:r>
      <w:r>
        <w:tab/>
      </w:r>
      <w:proofErr w:type="gramStart"/>
      <w:r>
        <w:t>any</w:t>
      </w:r>
      <w:proofErr w:type="gramEnd"/>
      <w:r>
        <w:t xml:space="preserve"> superannuation fund or scheme, whether the fund or scheme was established, or operates, within or outside Australia;</w:t>
      </w:r>
    </w:p>
    <w:p w:rsidR="00EC2FBF" w:rsidRDefault="00EC2FBF" w:rsidP="008224C1">
      <w:pPr>
        <w:spacing w:line="276" w:lineRule="auto"/>
      </w:pPr>
      <w:r>
        <w:tab/>
      </w:r>
      <w:r>
        <w:tab/>
      </w:r>
      <w:proofErr w:type="gramStart"/>
      <w:r>
        <w:t>and</w:t>
      </w:r>
      <w:proofErr w:type="gramEnd"/>
      <w:r>
        <w:t xml:space="preserve"> the rate of any such pension, allowance or benefit being paid to either party; and</w:t>
      </w:r>
    </w:p>
    <w:p w:rsidR="00EC2FBF" w:rsidRDefault="00EC2FBF" w:rsidP="008224C1">
      <w:pPr>
        <w:spacing w:line="276" w:lineRule="auto"/>
      </w:pPr>
      <w:r>
        <w:tab/>
        <w:t>(g)</w:t>
      </w:r>
      <w:r>
        <w:tab/>
        <w:t>where the parties have separated or divorced, a standard of living that in all the circumstances is reasonable; and</w:t>
      </w:r>
    </w:p>
    <w:p w:rsidR="00EC2FBF" w:rsidRDefault="00EC2FBF" w:rsidP="008224C1">
      <w:pPr>
        <w:spacing w:line="276" w:lineRule="auto"/>
      </w:pPr>
      <w:r>
        <w:tab/>
        <w:t>(h)</w:t>
      </w:r>
      <w:r>
        <w:tab/>
        <w:t>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income; and</w:t>
      </w:r>
    </w:p>
    <w:p w:rsidR="00EC2FBF" w:rsidRDefault="00EC2FBF" w:rsidP="008224C1">
      <w:pPr>
        <w:spacing w:line="276" w:lineRule="auto"/>
      </w:pPr>
      <w:r>
        <w:tab/>
        <w:t>(ha)</w:t>
      </w:r>
      <w:r>
        <w:tab/>
        <w:t>the effect of any proposed order on the ability of a creditor of a party to recover the creditor’s debt, so far as that effect is relevant; and</w:t>
      </w:r>
    </w:p>
    <w:p w:rsidR="00EC2FBF" w:rsidRDefault="00EC2FBF" w:rsidP="008224C1">
      <w:pPr>
        <w:spacing w:line="276" w:lineRule="auto"/>
      </w:pPr>
      <w:r>
        <w:lastRenderedPageBreak/>
        <w:tab/>
        <w:t>(j)</w:t>
      </w:r>
      <w:r>
        <w:tab/>
      </w:r>
      <w:proofErr w:type="gramStart"/>
      <w:r>
        <w:t>the</w:t>
      </w:r>
      <w:proofErr w:type="gramEnd"/>
      <w:r>
        <w:t xml:space="preserve"> extent to which the party whose maintenance is under consideration has contributed to the income, earning capacity, property and financial resources of the other party; and</w:t>
      </w:r>
    </w:p>
    <w:p w:rsidR="00EC2FBF" w:rsidRDefault="00EC2FBF" w:rsidP="008224C1">
      <w:pPr>
        <w:spacing w:line="276" w:lineRule="auto"/>
      </w:pPr>
      <w:r>
        <w:tab/>
        <w:t>(k)</w:t>
      </w:r>
      <w:r>
        <w:tab/>
      </w:r>
      <w:proofErr w:type="gramStart"/>
      <w:r>
        <w:t>the</w:t>
      </w:r>
      <w:proofErr w:type="gramEnd"/>
      <w:r>
        <w:t xml:space="preserve"> duration of the marriage and the extent to which it has affected the earning capacity of the party whose maintenance is under consideration; and</w:t>
      </w:r>
    </w:p>
    <w:p w:rsidR="00EC2FBF" w:rsidRDefault="00EC2FBF" w:rsidP="008224C1">
      <w:pPr>
        <w:spacing w:line="276" w:lineRule="auto"/>
      </w:pPr>
      <w:r>
        <w:tab/>
        <w:t>(l)</w:t>
      </w:r>
      <w:r>
        <w:tab/>
      </w:r>
      <w:proofErr w:type="gramStart"/>
      <w:r>
        <w:t>the</w:t>
      </w:r>
      <w:proofErr w:type="gramEnd"/>
      <w:r>
        <w:t xml:space="preserve"> need to protect a party who wishes to continue that party’s role as a parent; and</w:t>
      </w:r>
    </w:p>
    <w:p w:rsidR="00EC2FBF" w:rsidRDefault="00EC2FBF" w:rsidP="008224C1">
      <w:pPr>
        <w:spacing w:line="276" w:lineRule="auto"/>
      </w:pPr>
      <w:r>
        <w:tab/>
        <w:t>(m)</w:t>
      </w:r>
      <w:r>
        <w:tab/>
      </w:r>
      <w:proofErr w:type="gramStart"/>
      <w:r>
        <w:t>if</w:t>
      </w:r>
      <w:proofErr w:type="gramEnd"/>
      <w:r>
        <w:t xml:space="preserve"> either party is cohabiting with another person—the financial circumstances relating to the cohabitation; and</w:t>
      </w:r>
    </w:p>
    <w:p w:rsidR="00EC2FBF" w:rsidRDefault="00EC2FBF" w:rsidP="008224C1">
      <w:pPr>
        <w:spacing w:line="276" w:lineRule="auto"/>
      </w:pPr>
      <w:r>
        <w:tab/>
        <w:t>(n)</w:t>
      </w:r>
      <w:r>
        <w:tab/>
      </w:r>
      <w:proofErr w:type="gramStart"/>
      <w:r>
        <w:t>the</w:t>
      </w:r>
      <w:proofErr w:type="gramEnd"/>
      <w:r>
        <w:t xml:space="preserve"> terms of any order made or proposed to be made under section 79 in relation to:</w:t>
      </w:r>
    </w:p>
    <w:p w:rsidR="00EC2FBF" w:rsidRDefault="00EC2FBF" w:rsidP="008224C1">
      <w:pPr>
        <w:spacing w:line="276" w:lineRule="auto"/>
      </w:pPr>
      <w:r>
        <w:tab/>
        <w:t>(i)</w:t>
      </w:r>
      <w:r>
        <w:tab/>
      </w:r>
      <w:proofErr w:type="gramStart"/>
      <w:r>
        <w:t>the</w:t>
      </w:r>
      <w:proofErr w:type="gramEnd"/>
      <w:r>
        <w:t xml:space="preserve"> property of the parties; or</w:t>
      </w:r>
    </w:p>
    <w:p w:rsidR="00EC2FBF" w:rsidRDefault="00EC2FBF" w:rsidP="008224C1">
      <w:pPr>
        <w:spacing w:line="276" w:lineRule="auto"/>
      </w:pPr>
      <w:r>
        <w:tab/>
        <w:t>(ii)</w:t>
      </w:r>
      <w:r>
        <w:tab/>
      </w:r>
      <w:proofErr w:type="gramStart"/>
      <w:r>
        <w:t>vested</w:t>
      </w:r>
      <w:proofErr w:type="gramEnd"/>
      <w:r>
        <w:t xml:space="preserve"> bankruptcy property in relation to a bankrupt party; and</w:t>
      </w:r>
    </w:p>
    <w:p w:rsidR="00EC2FBF" w:rsidRDefault="00EC2FBF" w:rsidP="008224C1">
      <w:pPr>
        <w:spacing w:line="276" w:lineRule="auto"/>
      </w:pPr>
      <w:r>
        <w:tab/>
        <w:t>(</w:t>
      </w:r>
      <w:proofErr w:type="spellStart"/>
      <w:proofErr w:type="gramStart"/>
      <w:r>
        <w:t>naa</w:t>
      </w:r>
      <w:proofErr w:type="spellEnd"/>
      <w:proofErr w:type="gramEnd"/>
      <w:r>
        <w:t>)</w:t>
      </w:r>
      <w:r>
        <w:tab/>
        <w:t>the terms of any order or declaration made, or proposed to be made, under Part VIIIAB in relation to:</w:t>
      </w:r>
    </w:p>
    <w:p w:rsidR="00EC2FBF" w:rsidRDefault="00EC2FBF" w:rsidP="008224C1">
      <w:pPr>
        <w:spacing w:line="276" w:lineRule="auto"/>
      </w:pPr>
      <w:r>
        <w:tab/>
        <w:t>(i)</w:t>
      </w:r>
      <w:r>
        <w:tab/>
      </w:r>
      <w:proofErr w:type="gramStart"/>
      <w:r>
        <w:t>a</w:t>
      </w:r>
      <w:proofErr w:type="gramEnd"/>
      <w:r>
        <w:t xml:space="preserve"> party to the marriage; or</w:t>
      </w:r>
    </w:p>
    <w:p w:rsidR="00EC2FBF" w:rsidRDefault="00EC2FBF" w:rsidP="008224C1">
      <w:pPr>
        <w:spacing w:line="276" w:lineRule="auto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person who is a party to a de facto relationship with a party to the marriage; or</w:t>
      </w:r>
    </w:p>
    <w:p w:rsidR="00EC2FBF" w:rsidRDefault="00EC2FBF" w:rsidP="008224C1">
      <w:pPr>
        <w:spacing w:line="276" w:lineRule="auto"/>
      </w:pPr>
      <w:r>
        <w:tab/>
        <w:t>(iii)</w:t>
      </w:r>
      <w:r>
        <w:tab/>
        <w:t>the property of a person covered by subparagraph (i) and of a person covered by subparagraph (ii), or of either of them; or</w:t>
      </w:r>
    </w:p>
    <w:p w:rsidR="00EC2FBF" w:rsidRDefault="00EC2FBF" w:rsidP="008224C1">
      <w:pPr>
        <w:spacing w:line="276" w:lineRule="auto"/>
      </w:pPr>
      <w:r>
        <w:tab/>
        <w:t>(iv)</w:t>
      </w:r>
      <w:r>
        <w:tab/>
      </w:r>
      <w:proofErr w:type="gramStart"/>
      <w:r>
        <w:t>vested</w:t>
      </w:r>
      <w:proofErr w:type="gramEnd"/>
      <w:r>
        <w:t xml:space="preserve"> bankruptcy property in relation to a person covered by subparagraph (i) or (ii); and</w:t>
      </w:r>
    </w:p>
    <w:p w:rsidR="00EC2FBF" w:rsidRDefault="00EC2FBF" w:rsidP="008224C1">
      <w:pPr>
        <w:spacing w:line="276" w:lineRule="auto"/>
      </w:pPr>
      <w:r>
        <w:tab/>
        <w:t>(</w:t>
      </w:r>
      <w:proofErr w:type="spellStart"/>
      <w:r>
        <w:t>na</w:t>
      </w:r>
      <w:proofErr w:type="spellEnd"/>
      <w:r>
        <w:t>)</w:t>
      </w:r>
      <w:r>
        <w:tab/>
        <w:t>any child support under the Child Support (Assessment) Act 1989 that a party to the marriage has provided, is to provide, or might be liable to provide in the future, for a child of the marriage; and</w:t>
      </w:r>
    </w:p>
    <w:p w:rsidR="00EC2FBF" w:rsidRDefault="00EC2FBF" w:rsidP="008224C1">
      <w:pPr>
        <w:spacing w:line="276" w:lineRule="auto"/>
      </w:pPr>
      <w:r>
        <w:tab/>
        <w:t>(o)</w:t>
      </w:r>
      <w:r>
        <w:tab/>
      </w:r>
      <w:proofErr w:type="gramStart"/>
      <w:r>
        <w:t>any</w:t>
      </w:r>
      <w:proofErr w:type="gramEnd"/>
      <w:r>
        <w:t xml:space="preserve"> fact or circumstance which, in the opinion of the court, the justice of the case requires to be taken into account; and</w:t>
      </w:r>
    </w:p>
    <w:p w:rsidR="00EC2FBF" w:rsidRDefault="00EC2FBF" w:rsidP="008224C1">
      <w:pPr>
        <w:spacing w:line="276" w:lineRule="auto"/>
      </w:pPr>
      <w:r>
        <w:tab/>
        <w:t>(p)</w:t>
      </w:r>
      <w:r>
        <w:tab/>
      </w:r>
      <w:proofErr w:type="gramStart"/>
      <w:r>
        <w:t>the</w:t>
      </w:r>
      <w:proofErr w:type="gramEnd"/>
      <w:r>
        <w:t xml:space="preserve"> terms of any financial agreement that is binding on the parties to the marriage; and</w:t>
      </w:r>
    </w:p>
    <w:p w:rsidR="0067273C" w:rsidRDefault="00EC2FBF" w:rsidP="008224C1">
      <w:pPr>
        <w:spacing w:line="276" w:lineRule="auto"/>
      </w:pPr>
      <w:r>
        <w:tab/>
        <w:t>(q)</w:t>
      </w:r>
      <w:r>
        <w:tab/>
      </w:r>
      <w:proofErr w:type="gramStart"/>
      <w:r>
        <w:t>the</w:t>
      </w:r>
      <w:proofErr w:type="gramEnd"/>
      <w:r>
        <w:t xml:space="preserve"> terms of any Part VIIIAB financial agreement that is binding on a party to the marriage.</w:t>
      </w:r>
    </w:p>
    <w:p w:rsidR="002E3A08" w:rsidRPr="002E3A08" w:rsidRDefault="002E3A08" w:rsidP="008224C1">
      <w:pPr>
        <w:pStyle w:val="BalloonText"/>
        <w:spacing w:line="276" w:lineRule="auto"/>
      </w:pPr>
      <w:bookmarkStart w:id="0" w:name="_GoBack"/>
      <w:bookmarkEnd w:id="0"/>
    </w:p>
    <w:sectPr w:rsidR="002E3A08" w:rsidRPr="002E3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BF"/>
    <w:rsid w:val="001465D0"/>
    <w:rsid w:val="002E3A08"/>
    <w:rsid w:val="004943A8"/>
    <w:rsid w:val="004C0446"/>
    <w:rsid w:val="004C0AF5"/>
    <w:rsid w:val="005A4179"/>
    <w:rsid w:val="0067273C"/>
    <w:rsid w:val="008224C1"/>
    <w:rsid w:val="00EC2FBF"/>
    <w:rsid w:val="00E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sz w:val="24"/>
        <w:szCs w:val="16"/>
        <w:lang w:val="en-A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EE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alloonText"/>
    <w:qFormat/>
    <w:rsid w:val="002E3A0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sz w:val="24"/>
        <w:szCs w:val="16"/>
        <w:lang w:val="en-A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EE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alloonText"/>
    <w:qFormat/>
    <w:rsid w:val="002E3A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PMAC-S-CFRANEY$</dc:creator>
  <cp:lastModifiedBy>PMAC-S-CFRANEY$</cp:lastModifiedBy>
  <cp:revision>3</cp:revision>
  <cp:lastPrinted>2014-04-01T21:38:00Z</cp:lastPrinted>
  <dcterms:created xsi:type="dcterms:W3CDTF">2014-04-01T01:38:00Z</dcterms:created>
  <dcterms:modified xsi:type="dcterms:W3CDTF">2014-04-01T21:44:00Z</dcterms:modified>
</cp:coreProperties>
</file>